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88BAE2">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imes New Roman" w:hAnsi="Times New Roman" w:eastAsia="方正小标宋简体" w:cs="方正小标宋简体"/>
          <w:sz w:val="52"/>
          <w:szCs w:val="52"/>
        </w:rPr>
      </w:pPr>
    </w:p>
    <w:p w14:paraId="6A3839B5">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imes New Roman" w:hAnsi="Times New Roman" w:eastAsia="方正小标宋简体" w:cs="方正小标宋简体"/>
          <w:sz w:val="52"/>
          <w:szCs w:val="52"/>
        </w:rPr>
      </w:pPr>
    </w:p>
    <w:p w14:paraId="521ECD53">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imes New Roman" w:hAnsi="Times New Roman" w:eastAsia="方正小标宋简体" w:cs="方正小标宋简体"/>
          <w:sz w:val="52"/>
          <w:szCs w:val="52"/>
        </w:rPr>
      </w:pPr>
    </w:p>
    <w:p w14:paraId="07CAE1D9">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imes New Roman" w:hAnsi="Times New Roman" w:eastAsia="方正小标宋简体" w:cs="方正小标宋简体"/>
          <w:sz w:val="52"/>
          <w:szCs w:val="52"/>
        </w:rPr>
      </w:pPr>
    </w:p>
    <w:p w14:paraId="4A2AE80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方正小标宋简体" w:cs="方正小标宋简体"/>
          <w:sz w:val="52"/>
          <w:szCs w:val="52"/>
        </w:rPr>
      </w:pPr>
      <w:r>
        <w:rPr>
          <w:rFonts w:hint="eastAsia" w:ascii="Times New Roman" w:hAnsi="Times New Roman" w:eastAsia="方正小标宋简体" w:cs="方正小标宋简体"/>
          <w:sz w:val="52"/>
          <w:szCs w:val="52"/>
        </w:rPr>
        <w:t>清原满族自治县</w:t>
      </w:r>
      <w:r>
        <w:rPr>
          <w:rFonts w:hint="eastAsia" w:eastAsia="方正小标宋简体" w:cs="方正小标宋简体"/>
          <w:sz w:val="52"/>
          <w:szCs w:val="52"/>
          <w:lang w:val="en-US" w:eastAsia="zh-CN"/>
        </w:rPr>
        <w:t>2026年度</w:t>
      </w:r>
      <w:r>
        <w:rPr>
          <w:rFonts w:hint="eastAsia" w:ascii="Times New Roman" w:hAnsi="Times New Roman" w:eastAsia="方正小标宋简体" w:cs="方正小标宋简体"/>
          <w:sz w:val="52"/>
          <w:szCs w:val="52"/>
        </w:rPr>
        <w:t>国土空间总体规划（2021</w:t>
      </w:r>
      <w:r>
        <w:rPr>
          <w:rFonts w:hint="eastAsia" w:eastAsia="方正小标宋简体" w:cs="方正小标宋简体"/>
          <w:sz w:val="52"/>
          <w:szCs w:val="52"/>
          <w:lang w:eastAsia="zh-CN"/>
        </w:rPr>
        <w:t>—</w:t>
      </w:r>
      <w:r>
        <w:rPr>
          <w:rFonts w:hint="eastAsia" w:ascii="Times New Roman" w:hAnsi="Times New Roman" w:eastAsia="方正小标宋简体" w:cs="方正小标宋简体"/>
          <w:sz w:val="52"/>
          <w:szCs w:val="52"/>
        </w:rPr>
        <w:t>2035年）</w:t>
      </w:r>
    </w:p>
    <w:p w14:paraId="7BF5F01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方正小标宋简体" w:cs="方正小标宋简体"/>
          <w:sz w:val="52"/>
          <w:szCs w:val="52"/>
        </w:rPr>
      </w:pPr>
      <w:r>
        <w:rPr>
          <w:rFonts w:hint="eastAsia" w:ascii="Times New Roman" w:hAnsi="Times New Roman" w:eastAsia="方正小标宋简体" w:cs="方正小标宋简体"/>
          <w:sz w:val="52"/>
          <w:szCs w:val="52"/>
        </w:rPr>
        <w:t>动态维护方案</w:t>
      </w:r>
    </w:p>
    <w:p w14:paraId="18523F0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楷体" w:cs="方正小标宋简体"/>
          <w:sz w:val="44"/>
          <w:szCs w:val="44"/>
          <w:lang w:eastAsia="zh-CN"/>
        </w:rPr>
      </w:pPr>
      <w:r>
        <w:rPr>
          <w:rFonts w:hint="eastAsia" w:eastAsia="楷体" w:cs="方正小标宋简体"/>
          <w:sz w:val="44"/>
          <w:szCs w:val="44"/>
          <w:lang w:eastAsia="zh-CN"/>
        </w:rPr>
        <w:t>（</w:t>
      </w:r>
      <w:r>
        <w:rPr>
          <w:rFonts w:hint="eastAsia" w:eastAsia="楷体" w:cs="方正小标宋简体"/>
          <w:sz w:val="44"/>
          <w:szCs w:val="44"/>
          <w:lang w:val="en-US" w:eastAsia="zh-CN"/>
        </w:rPr>
        <w:t>公示稿</w:t>
      </w:r>
      <w:r>
        <w:rPr>
          <w:rFonts w:hint="eastAsia" w:eastAsia="楷体" w:cs="方正小标宋简体"/>
          <w:sz w:val="44"/>
          <w:szCs w:val="44"/>
          <w:lang w:eastAsia="zh-CN"/>
        </w:rPr>
        <w:t>）</w:t>
      </w:r>
    </w:p>
    <w:p w14:paraId="0EFE2C4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方正小标宋简体" w:cs="方正小标宋简体"/>
          <w:sz w:val="52"/>
          <w:szCs w:val="52"/>
        </w:rPr>
      </w:pPr>
    </w:p>
    <w:p w14:paraId="6F3AEBA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方正小标宋简体" w:cs="方正小标宋简体"/>
          <w:sz w:val="52"/>
          <w:szCs w:val="52"/>
        </w:rPr>
      </w:pPr>
    </w:p>
    <w:p w14:paraId="29DAF83A">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方正小标宋简体" w:cs="方正小标宋简体"/>
          <w:sz w:val="52"/>
          <w:szCs w:val="52"/>
        </w:rPr>
      </w:pPr>
      <w:bookmarkStart w:id="61" w:name="_GoBack"/>
      <w:bookmarkEnd w:id="61"/>
    </w:p>
    <w:p w14:paraId="05D26DF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方正小标宋简体" w:cs="方正小标宋简体"/>
          <w:sz w:val="52"/>
          <w:szCs w:val="52"/>
        </w:rPr>
      </w:pPr>
    </w:p>
    <w:p w14:paraId="6BB5C38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方正小标宋简体" w:cs="方正小标宋简体"/>
          <w:sz w:val="52"/>
          <w:szCs w:val="52"/>
        </w:rPr>
      </w:pPr>
    </w:p>
    <w:p w14:paraId="6E1050B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方正小标宋简体" w:cs="方正小标宋简体"/>
          <w:sz w:val="52"/>
          <w:szCs w:val="52"/>
        </w:rPr>
      </w:pPr>
    </w:p>
    <w:p w14:paraId="158CE60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方正小标宋简体" w:cs="方正小标宋简体"/>
          <w:sz w:val="52"/>
          <w:szCs w:val="52"/>
        </w:rPr>
      </w:pPr>
    </w:p>
    <w:p w14:paraId="37567DE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方正小标宋简体" w:cs="方正小标宋简体"/>
          <w:sz w:val="52"/>
          <w:szCs w:val="52"/>
        </w:rPr>
      </w:pPr>
    </w:p>
    <w:p w14:paraId="242FBB98">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方正小标宋简体" w:cs="方正小标宋简体"/>
          <w:sz w:val="52"/>
          <w:szCs w:val="52"/>
        </w:rPr>
      </w:pPr>
    </w:p>
    <w:p w14:paraId="08ED574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方正小标宋简体" w:cs="方正小标宋简体"/>
          <w:sz w:val="52"/>
          <w:szCs w:val="52"/>
        </w:rPr>
      </w:pPr>
    </w:p>
    <w:p w14:paraId="6CF5C2F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方正小标宋简体" w:cs="方正小标宋简体"/>
          <w:sz w:val="44"/>
          <w:szCs w:val="44"/>
          <w:lang w:val="en-US" w:eastAsia="zh-CN"/>
        </w:rPr>
      </w:pPr>
      <w:r>
        <w:rPr>
          <w:rFonts w:hint="eastAsia" w:ascii="Times New Roman" w:hAnsi="Times New Roman" w:eastAsia="方正小标宋简体" w:cs="方正小标宋简体"/>
          <w:sz w:val="44"/>
          <w:szCs w:val="44"/>
          <w:lang w:val="en-US" w:eastAsia="zh-CN"/>
        </w:rPr>
        <w:t>清原满族自治县自然资源局</w:t>
      </w:r>
    </w:p>
    <w:p w14:paraId="7CCAB3C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方正小标宋简体" w:cs="方正小标宋简体"/>
          <w:sz w:val="44"/>
          <w:szCs w:val="44"/>
          <w:lang w:val="en-US" w:eastAsia="zh-CN"/>
        </w:rPr>
      </w:pPr>
      <w:r>
        <w:rPr>
          <w:rFonts w:hint="eastAsia" w:ascii="Times New Roman" w:hAnsi="Times New Roman" w:eastAsia="方正小标宋简体" w:cs="方正小标宋简体"/>
          <w:sz w:val="44"/>
          <w:szCs w:val="44"/>
          <w:lang w:val="en-US" w:eastAsia="zh-CN"/>
        </w:rPr>
        <w:t>2026年</w:t>
      </w:r>
      <w:r>
        <w:rPr>
          <w:rFonts w:hint="eastAsia" w:eastAsia="方正小标宋简体" w:cs="方正小标宋简体"/>
          <w:sz w:val="44"/>
          <w:szCs w:val="44"/>
          <w:lang w:val="en-US" w:eastAsia="zh-CN"/>
        </w:rPr>
        <w:t>8</w:t>
      </w:r>
      <w:r>
        <w:rPr>
          <w:rFonts w:hint="eastAsia" w:ascii="Times New Roman" w:hAnsi="Times New Roman" w:eastAsia="方正小标宋简体" w:cs="方正小标宋简体"/>
          <w:sz w:val="44"/>
          <w:szCs w:val="44"/>
          <w:lang w:val="en-US" w:eastAsia="zh-CN"/>
        </w:rPr>
        <w:t>月</w:t>
      </w:r>
    </w:p>
    <w:p w14:paraId="5EEFA0AA">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方正小标宋简体" w:cs="方正小标宋简体"/>
          <w:sz w:val="44"/>
          <w:szCs w:val="44"/>
          <w:lang w:val="en-US" w:eastAsia="zh-CN"/>
        </w:rPr>
        <w:sectPr>
          <w:headerReference r:id="rId5" w:type="default"/>
          <w:pgSz w:w="11906" w:h="16838"/>
          <w:pgMar w:top="1440" w:right="1800" w:bottom="1440" w:left="1800" w:header="851" w:footer="992" w:gutter="0"/>
          <w:cols w:space="425" w:num="1"/>
          <w:docGrid w:type="lines" w:linePitch="312" w:charSpace="0"/>
        </w:sectPr>
      </w:pPr>
    </w:p>
    <w:p w14:paraId="77F50A2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方正小标宋简体" w:cs="方正小标宋简体"/>
          <w:sz w:val="44"/>
          <w:szCs w:val="44"/>
          <w:lang w:val="en-US" w:eastAsia="zh-CN"/>
        </w:rPr>
      </w:pPr>
      <w:r>
        <w:rPr>
          <w:rFonts w:hint="eastAsia" w:ascii="黑体" w:hAnsi="黑体" w:eastAsia="黑体" w:cs="黑体"/>
          <w:sz w:val="44"/>
          <w:szCs w:val="44"/>
          <w:lang w:val="en-US" w:eastAsia="zh-CN"/>
        </w:rPr>
        <w:t>目  录</w:t>
      </w:r>
    </w:p>
    <w:sdt>
      <w:sdtPr>
        <w:rPr>
          <w:rFonts w:ascii="宋体" w:hAnsi="宋体" w:eastAsia="宋体" w:cstheme="minorBidi"/>
          <w:kern w:val="2"/>
          <w:sz w:val="21"/>
          <w:szCs w:val="24"/>
          <w:lang w:val="en-US" w:eastAsia="zh-CN" w:bidi="ar-SA"/>
        </w:rPr>
        <w:id w:val="147472369"/>
        <w15:color w:val="DBDBDB"/>
        <w:docPartObj>
          <w:docPartGallery w:val="Table of Contents"/>
          <w:docPartUnique/>
        </w:docPartObj>
      </w:sdtPr>
      <w:sdtEndPr>
        <w:rPr>
          <w:rFonts w:hint="eastAsia" w:ascii="Times New Roman" w:hAnsi="Times New Roman" w:eastAsia="方正小标宋简体" w:cs="方正小标宋简体"/>
          <w:kern w:val="2"/>
          <w:sz w:val="32"/>
          <w:szCs w:val="44"/>
          <w:lang w:val="en-US" w:eastAsia="zh-CN" w:bidi="ar-SA"/>
        </w:rPr>
      </w:sdtEndPr>
      <w:sdtContent>
        <w:p w14:paraId="79E3D4DC">
          <w:pPr>
            <w:spacing w:before="0" w:beforeLines="0" w:after="0" w:afterLines="0" w:line="240" w:lineRule="auto"/>
            <w:ind w:left="0" w:leftChars="0" w:right="0" w:rightChars="0" w:firstLine="0" w:firstLineChars="0"/>
            <w:jc w:val="center"/>
          </w:pPr>
        </w:p>
        <w:p w14:paraId="3FFC28C3">
          <w:pPr>
            <w:pStyle w:val="8"/>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TOC \o "1-2" \h \u </w:instrText>
          </w:r>
          <w:r>
            <w:fldChar w:fldCharType="separate"/>
          </w:r>
          <w:r>
            <w:fldChar w:fldCharType="begin"/>
          </w:r>
          <w:r>
            <w:instrText xml:space="preserve"> HYPERLINK \l _Toc10132 </w:instrText>
          </w:r>
          <w:r>
            <w:fldChar w:fldCharType="separate"/>
          </w:r>
          <w:r>
            <w:rPr>
              <w:rFonts w:hint="eastAsia"/>
              <w:lang w:val="en-US" w:eastAsia="zh-CN"/>
            </w:rPr>
            <w:t>一、总则</w:t>
          </w:r>
          <w:r>
            <w:tab/>
          </w:r>
          <w:r>
            <w:fldChar w:fldCharType="begin"/>
          </w:r>
          <w:r>
            <w:instrText xml:space="preserve"> PAGEREF _Toc10132 \h </w:instrText>
          </w:r>
          <w:r>
            <w:fldChar w:fldCharType="separate"/>
          </w:r>
          <w:r>
            <w:t>1</w:t>
          </w:r>
          <w:r>
            <w:fldChar w:fldCharType="end"/>
          </w:r>
          <w:r>
            <w:fldChar w:fldCharType="end"/>
          </w:r>
        </w:p>
        <w:p w14:paraId="2E72564C">
          <w:pPr>
            <w:pStyle w:val="9"/>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_Toc11817 </w:instrText>
          </w:r>
          <w:r>
            <w:fldChar w:fldCharType="separate"/>
          </w:r>
          <w:r>
            <w:rPr>
              <w:rFonts w:hint="eastAsia"/>
              <w:lang w:val="en-US" w:eastAsia="zh-CN"/>
            </w:rPr>
            <w:t>（一）工作背景</w:t>
          </w:r>
          <w:r>
            <w:tab/>
          </w:r>
          <w:r>
            <w:fldChar w:fldCharType="begin"/>
          </w:r>
          <w:r>
            <w:instrText xml:space="preserve"> PAGEREF _Toc11817 \h </w:instrText>
          </w:r>
          <w:r>
            <w:fldChar w:fldCharType="separate"/>
          </w:r>
          <w:r>
            <w:t>1</w:t>
          </w:r>
          <w:r>
            <w:fldChar w:fldCharType="end"/>
          </w:r>
          <w:r>
            <w:fldChar w:fldCharType="end"/>
          </w:r>
        </w:p>
        <w:p w14:paraId="0C4CD0F0">
          <w:pPr>
            <w:pStyle w:val="9"/>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_Toc5034 </w:instrText>
          </w:r>
          <w:r>
            <w:fldChar w:fldCharType="separate"/>
          </w:r>
          <w:r>
            <w:rPr>
              <w:rFonts w:hint="eastAsia"/>
              <w:lang w:val="en-US" w:eastAsia="zh-CN"/>
            </w:rPr>
            <w:t>（二）任务与目的</w:t>
          </w:r>
          <w:r>
            <w:tab/>
          </w:r>
          <w:r>
            <w:fldChar w:fldCharType="begin"/>
          </w:r>
          <w:r>
            <w:instrText xml:space="preserve"> PAGEREF _Toc5034 \h </w:instrText>
          </w:r>
          <w:r>
            <w:fldChar w:fldCharType="separate"/>
          </w:r>
          <w:r>
            <w:t>1</w:t>
          </w:r>
          <w:r>
            <w:fldChar w:fldCharType="end"/>
          </w:r>
          <w:r>
            <w:fldChar w:fldCharType="end"/>
          </w:r>
        </w:p>
        <w:p w14:paraId="4CEACD28">
          <w:pPr>
            <w:pStyle w:val="9"/>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_Toc27223 </w:instrText>
          </w:r>
          <w:r>
            <w:fldChar w:fldCharType="separate"/>
          </w:r>
          <w:r>
            <w:rPr>
              <w:rFonts w:hint="eastAsia"/>
              <w:lang w:val="en-US" w:eastAsia="zh-CN"/>
            </w:rPr>
            <w:t>（三）编制范围</w:t>
          </w:r>
          <w:r>
            <w:tab/>
          </w:r>
          <w:r>
            <w:fldChar w:fldCharType="begin"/>
          </w:r>
          <w:r>
            <w:instrText xml:space="preserve"> PAGEREF _Toc27223 \h </w:instrText>
          </w:r>
          <w:r>
            <w:fldChar w:fldCharType="separate"/>
          </w:r>
          <w:r>
            <w:t>2</w:t>
          </w:r>
          <w:r>
            <w:fldChar w:fldCharType="end"/>
          </w:r>
          <w:r>
            <w:fldChar w:fldCharType="end"/>
          </w:r>
        </w:p>
        <w:p w14:paraId="1A14362D">
          <w:pPr>
            <w:pStyle w:val="9"/>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_Toc14321 </w:instrText>
          </w:r>
          <w:r>
            <w:fldChar w:fldCharType="separate"/>
          </w:r>
          <w:r>
            <w:rPr>
              <w:rFonts w:hint="eastAsia"/>
              <w:lang w:val="en-US" w:eastAsia="zh-CN"/>
            </w:rPr>
            <w:t>（四）编制原则</w:t>
          </w:r>
          <w:r>
            <w:tab/>
          </w:r>
          <w:r>
            <w:fldChar w:fldCharType="begin"/>
          </w:r>
          <w:r>
            <w:instrText xml:space="preserve"> PAGEREF _Toc14321 \h </w:instrText>
          </w:r>
          <w:r>
            <w:fldChar w:fldCharType="separate"/>
          </w:r>
          <w:r>
            <w:t>2</w:t>
          </w:r>
          <w:r>
            <w:fldChar w:fldCharType="end"/>
          </w:r>
          <w:r>
            <w:fldChar w:fldCharType="end"/>
          </w:r>
        </w:p>
        <w:p w14:paraId="2D673258">
          <w:pPr>
            <w:pStyle w:val="8"/>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_Toc25781 </w:instrText>
          </w:r>
          <w:r>
            <w:fldChar w:fldCharType="separate"/>
          </w:r>
          <w:r>
            <w:rPr>
              <w:rFonts w:hint="eastAsia"/>
              <w:lang w:val="en-US" w:eastAsia="zh-CN"/>
            </w:rPr>
            <w:t>二、规划实施评估</w:t>
          </w:r>
          <w:r>
            <w:tab/>
          </w:r>
          <w:r>
            <w:fldChar w:fldCharType="begin"/>
          </w:r>
          <w:r>
            <w:instrText xml:space="preserve"> PAGEREF _Toc25781 \h </w:instrText>
          </w:r>
          <w:r>
            <w:fldChar w:fldCharType="separate"/>
          </w:r>
          <w:r>
            <w:t>4</w:t>
          </w:r>
          <w:r>
            <w:fldChar w:fldCharType="end"/>
          </w:r>
          <w:r>
            <w:fldChar w:fldCharType="end"/>
          </w:r>
        </w:p>
        <w:p w14:paraId="01E05B1F">
          <w:pPr>
            <w:pStyle w:val="9"/>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_Toc15975 </w:instrText>
          </w:r>
          <w:r>
            <w:fldChar w:fldCharType="separate"/>
          </w:r>
          <w:r>
            <w:rPr>
              <w:rFonts w:hint="eastAsia"/>
              <w:lang w:val="en-US" w:eastAsia="zh-CN"/>
            </w:rPr>
            <w:t>（一）阶段性成效</w:t>
          </w:r>
          <w:r>
            <w:tab/>
          </w:r>
          <w:r>
            <w:fldChar w:fldCharType="begin"/>
          </w:r>
          <w:r>
            <w:instrText xml:space="preserve"> PAGEREF _Toc15975 \h </w:instrText>
          </w:r>
          <w:r>
            <w:fldChar w:fldCharType="separate"/>
          </w:r>
          <w:r>
            <w:t>4</w:t>
          </w:r>
          <w:r>
            <w:fldChar w:fldCharType="end"/>
          </w:r>
          <w:r>
            <w:fldChar w:fldCharType="end"/>
          </w:r>
        </w:p>
        <w:p w14:paraId="37B06934">
          <w:pPr>
            <w:pStyle w:val="9"/>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_Toc28484 </w:instrText>
          </w:r>
          <w:r>
            <w:fldChar w:fldCharType="separate"/>
          </w:r>
          <w:r>
            <w:rPr>
              <w:rFonts w:hint="eastAsia"/>
              <w:lang w:val="en-US" w:eastAsia="zh-CN"/>
            </w:rPr>
            <w:t>（二）问题与不足</w:t>
          </w:r>
          <w:r>
            <w:tab/>
          </w:r>
          <w:r>
            <w:fldChar w:fldCharType="begin"/>
          </w:r>
          <w:r>
            <w:instrText xml:space="preserve"> PAGEREF _Toc28484 \h </w:instrText>
          </w:r>
          <w:r>
            <w:fldChar w:fldCharType="separate"/>
          </w:r>
          <w:r>
            <w:t>5</w:t>
          </w:r>
          <w:r>
            <w:fldChar w:fldCharType="end"/>
          </w:r>
          <w:r>
            <w:fldChar w:fldCharType="end"/>
          </w:r>
        </w:p>
        <w:p w14:paraId="0A21CDD6">
          <w:pPr>
            <w:pStyle w:val="8"/>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_Toc18691 </w:instrText>
          </w:r>
          <w:r>
            <w:fldChar w:fldCharType="separate"/>
          </w:r>
          <w:r>
            <w:rPr>
              <w:rFonts w:hint="eastAsia"/>
              <w:lang w:val="en-US" w:eastAsia="zh-CN"/>
            </w:rPr>
            <w:t>三</w:t>
          </w:r>
          <w:r>
            <w:rPr>
              <w:rFonts w:hint="default"/>
              <w:lang w:val="en-US" w:eastAsia="zh-CN"/>
            </w:rPr>
            <w:t>、动态维护方案</w:t>
          </w:r>
          <w:r>
            <w:tab/>
          </w:r>
          <w:r>
            <w:fldChar w:fldCharType="begin"/>
          </w:r>
          <w:r>
            <w:instrText xml:space="preserve"> PAGEREF _Toc18691 \h </w:instrText>
          </w:r>
          <w:r>
            <w:fldChar w:fldCharType="separate"/>
          </w:r>
          <w:r>
            <w:t>5</w:t>
          </w:r>
          <w:r>
            <w:fldChar w:fldCharType="end"/>
          </w:r>
          <w:r>
            <w:fldChar w:fldCharType="end"/>
          </w:r>
        </w:p>
        <w:p w14:paraId="2068FCF7">
          <w:pPr>
            <w:pStyle w:val="9"/>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_Toc17463 </w:instrText>
          </w:r>
          <w:r>
            <w:fldChar w:fldCharType="separate"/>
          </w:r>
          <w:r>
            <w:rPr>
              <w:rFonts w:hint="default"/>
              <w:lang w:val="en-US" w:eastAsia="zh-CN"/>
            </w:rPr>
            <w:t>（一）</w:t>
          </w:r>
          <w:r>
            <w:rPr>
              <w:rFonts w:hint="eastAsia"/>
              <w:lang w:val="en-US" w:eastAsia="zh-CN"/>
            </w:rPr>
            <w:t>三条控制线</w:t>
          </w:r>
          <w:r>
            <w:tab/>
          </w:r>
          <w:r>
            <w:fldChar w:fldCharType="begin"/>
          </w:r>
          <w:r>
            <w:instrText xml:space="preserve"> PAGEREF _Toc17463 \h </w:instrText>
          </w:r>
          <w:r>
            <w:fldChar w:fldCharType="separate"/>
          </w:r>
          <w:r>
            <w:t>5</w:t>
          </w:r>
          <w:r>
            <w:fldChar w:fldCharType="end"/>
          </w:r>
          <w:r>
            <w:fldChar w:fldCharType="end"/>
          </w:r>
        </w:p>
        <w:p w14:paraId="07137EE5">
          <w:pPr>
            <w:pStyle w:val="9"/>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_Toc4339 </w:instrText>
          </w:r>
          <w:r>
            <w:fldChar w:fldCharType="separate"/>
          </w:r>
          <w:r>
            <w:rPr>
              <w:lang w:val="en-US" w:eastAsia="zh-CN"/>
            </w:rPr>
            <w:t>（二）规划分区</w:t>
          </w:r>
          <w:r>
            <w:tab/>
          </w:r>
          <w:r>
            <w:fldChar w:fldCharType="begin"/>
          </w:r>
          <w:r>
            <w:instrText xml:space="preserve"> PAGEREF _Toc4339 \h </w:instrText>
          </w:r>
          <w:r>
            <w:fldChar w:fldCharType="separate"/>
          </w:r>
          <w:r>
            <w:t>7</w:t>
          </w:r>
          <w:r>
            <w:fldChar w:fldCharType="end"/>
          </w:r>
          <w:r>
            <w:fldChar w:fldCharType="end"/>
          </w:r>
        </w:p>
        <w:p w14:paraId="6114C738">
          <w:pPr>
            <w:pStyle w:val="9"/>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_Toc10402 </w:instrText>
          </w:r>
          <w:r>
            <w:fldChar w:fldCharType="separate"/>
          </w:r>
          <w:r>
            <w:rPr>
              <w:rFonts w:hint="default"/>
              <w:lang w:val="en-US" w:eastAsia="zh-CN"/>
            </w:rPr>
            <w:t>（三）</w:t>
          </w:r>
          <w:r>
            <w:rPr>
              <w:rFonts w:hint="eastAsia"/>
              <w:lang w:val="en-US" w:eastAsia="zh-CN"/>
            </w:rPr>
            <w:t>规划用地</w:t>
          </w:r>
          <w:r>
            <w:rPr>
              <w:rFonts w:hint="default"/>
              <w:lang w:val="en-US" w:eastAsia="zh-CN"/>
            </w:rPr>
            <w:t>布局</w:t>
          </w:r>
          <w:r>
            <w:tab/>
          </w:r>
          <w:r>
            <w:fldChar w:fldCharType="begin"/>
          </w:r>
          <w:r>
            <w:instrText xml:space="preserve"> PAGEREF _Toc10402 \h </w:instrText>
          </w:r>
          <w:r>
            <w:fldChar w:fldCharType="separate"/>
          </w:r>
          <w:r>
            <w:t>7</w:t>
          </w:r>
          <w:r>
            <w:fldChar w:fldCharType="end"/>
          </w:r>
          <w:r>
            <w:fldChar w:fldCharType="end"/>
          </w:r>
        </w:p>
        <w:p w14:paraId="7C31DAD4">
          <w:pPr>
            <w:pStyle w:val="9"/>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_Toc32027 </w:instrText>
          </w:r>
          <w:r>
            <w:fldChar w:fldCharType="separate"/>
          </w:r>
          <w:r>
            <w:rPr>
              <w:rFonts w:hint="default"/>
              <w:lang w:val="en-US" w:eastAsia="zh-CN"/>
            </w:rPr>
            <w:t>（四）其他空间管控边界</w:t>
          </w:r>
          <w:r>
            <w:tab/>
          </w:r>
          <w:r>
            <w:fldChar w:fldCharType="begin"/>
          </w:r>
          <w:r>
            <w:instrText xml:space="preserve"> PAGEREF _Toc32027 \h </w:instrText>
          </w:r>
          <w:r>
            <w:fldChar w:fldCharType="separate"/>
          </w:r>
          <w:r>
            <w:t>7</w:t>
          </w:r>
          <w:r>
            <w:fldChar w:fldCharType="end"/>
          </w:r>
          <w:r>
            <w:fldChar w:fldCharType="end"/>
          </w:r>
        </w:p>
        <w:p w14:paraId="06C539B9">
          <w:pPr>
            <w:pStyle w:val="9"/>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_Toc11666 </w:instrText>
          </w:r>
          <w:r>
            <w:fldChar w:fldCharType="separate"/>
          </w:r>
          <w:r>
            <w:rPr>
              <w:rFonts w:hint="default"/>
              <w:lang w:val="en-US" w:eastAsia="zh-CN"/>
            </w:rPr>
            <w:t>（五）重点建设项目清单</w:t>
          </w:r>
          <w:r>
            <w:tab/>
          </w:r>
          <w:r>
            <w:fldChar w:fldCharType="begin"/>
          </w:r>
          <w:r>
            <w:instrText xml:space="preserve"> PAGEREF _Toc11666 \h </w:instrText>
          </w:r>
          <w:r>
            <w:fldChar w:fldCharType="separate"/>
          </w:r>
          <w:r>
            <w:t>8</w:t>
          </w:r>
          <w:r>
            <w:fldChar w:fldCharType="end"/>
          </w:r>
          <w:r>
            <w:fldChar w:fldCharType="end"/>
          </w:r>
        </w:p>
        <w:p w14:paraId="70A035B5">
          <w:pPr>
            <w:pStyle w:val="9"/>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_Toc20797 </w:instrText>
          </w:r>
          <w:r>
            <w:fldChar w:fldCharType="separate"/>
          </w:r>
          <w:r>
            <w:rPr>
              <w:rFonts w:hint="default"/>
              <w:lang w:val="en-US" w:eastAsia="zh-CN"/>
            </w:rPr>
            <w:t>（六）详规单元</w:t>
          </w:r>
          <w:r>
            <w:tab/>
          </w:r>
          <w:r>
            <w:fldChar w:fldCharType="begin"/>
          </w:r>
          <w:r>
            <w:instrText xml:space="preserve"> PAGEREF _Toc20797 \h </w:instrText>
          </w:r>
          <w:r>
            <w:fldChar w:fldCharType="separate"/>
          </w:r>
          <w:r>
            <w:t>9</w:t>
          </w:r>
          <w:r>
            <w:fldChar w:fldCharType="end"/>
          </w:r>
          <w:r>
            <w:fldChar w:fldCharType="end"/>
          </w:r>
        </w:p>
        <w:p w14:paraId="3C8957EA">
          <w:pPr>
            <w:pStyle w:val="8"/>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_Toc19196 </w:instrText>
          </w:r>
          <w:r>
            <w:fldChar w:fldCharType="separate"/>
          </w:r>
          <w:r>
            <w:rPr>
              <w:rFonts w:hint="eastAsia"/>
              <w:lang w:val="en-US" w:eastAsia="zh-CN"/>
            </w:rPr>
            <w:t>四</w:t>
          </w:r>
          <w:r>
            <w:rPr>
              <w:rFonts w:hint="default"/>
              <w:lang w:val="en-US" w:eastAsia="zh-CN"/>
            </w:rPr>
            <w:t>、</w:t>
          </w:r>
          <w:r>
            <w:rPr>
              <w:rFonts w:hint="eastAsia"/>
              <w:lang w:val="en-US" w:eastAsia="zh-CN"/>
            </w:rPr>
            <w:t>方案</w:t>
          </w:r>
          <w:r>
            <w:rPr>
              <w:rFonts w:hint="default"/>
              <w:lang w:val="en-US" w:eastAsia="zh-CN"/>
            </w:rPr>
            <w:t>可行性分析</w:t>
          </w:r>
          <w:r>
            <w:tab/>
          </w:r>
          <w:r>
            <w:fldChar w:fldCharType="begin"/>
          </w:r>
          <w:r>
            <w:instrText xml:space="preserve"> PAGEREF _Toc19196 \h </w:instrText>
          </w:r>
          <w:r>
            <w:fldChar w:fldCharType="separate"/>
          </w:r>
          <w:r>
            <w:t>9</w:t>
          </w:r>
          <w:r>
            <w:fldChar w:fldCharType="end"/>
          </w:r>
          <w:r>
            <w:fldChar w:fldCharType="end"/>
          </w:r>
        </w:p>
        <w:p w14:paraId="2F701F01">
          <w:pPr>
            <w:pStyle w:val="9"/>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_Toc25520 </w:instrText>
          </w:r>
          <w:r>
            <w:fldChar w:fldCharType="separate"/>
          </w:r>
          <w:r>
            <w:rPr>
              <w:rFonts w:hint="eastAsia"/>
              <w:lang w:val="en-US" w:eastAsia="zh-CN"/>
            </w:rPr>
            <w:t>（一）</w:t>
          </w:r>
          <w:r>
            <w:rPr>
              <w:rFonts w:hint="default"/>
              <w:lang w:val="en-US" w:eastAsia="zh-CN"/>
            </w:rPr>
            <w:t>工作推进有基础</w:t>
          </w:r>
          <w:r>
            <w:tab/>
          </w:r>
          <w:r>
            <w:fldChar w:fldCharType="begin"/>
          </w:r>
          <w:r>
            <w:instrText xml:space="preserve"> PAGEREF _Toc25520 \h </w:instrText>
          </w:r>
          <w:r>
            <w:fldChar w:fldCharType="separate"/>
          </w:r>
          <w:r>
            <w:t>9</w:t>
          </w:r>
          <w:r>
            <w:fldChar w:fldCharType="end"/>
          </w:r>
          <w:r>
            <w:fldChar w:fldCharType="end"/>
          </w:r>
        </w:p>
        <w:p w14:paraId="2F8027A5">
          <w:pPr>
            <w:pStyle w:val="9"/>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_Toc11053 </w:instrText>
          </w:r>
          <w:r>
            <w:fldChar w:fldCharType="separate"/>
          </w:r>
          <w:r>
            <w:rPr>
              <w:rFonts w:hint="eastAsia"/>
              <w:lang w:val="en-US" w:eastAsia="zh-CN"/>
            </w:rPr>
            <w:t>（二）</w:t>
          </w:r>
          <w:r>
            <w:rPr>
              <w:rFonts w:hint="default"/>
              <w:lang w:val="en-US" w:eastAsia="zh-CN"/>
            </w:rPr>
            <w:t>政策机制有保障</w:t>
          </w:r>
          <w:r>
            <w:tab/>
          </w:r>
          <w:r>
            <w:fldChar w:fldCharType="begin"/>
          </w:r>
          <w:r>
            <w:instrText xml:space="preserve"> PAGEREF _Toc11053 \h </w:instrText>
          </w:r>
          <w:r>
            <w:fldChar w:fldCharType="separate"/>
          </w:r>
          <w:r>
            <w:t>9</w:t>
          </w:r>
          <w:r>
            <w:fldChar w:fldCharType="end"/>
          </w:r>
          <w:r>
            <w:fldChar w:fldCharType="end"/>
          </w:r>
        </w:p>
        <w:p w14:paraId="03E6B79D">
          <w:pPr>
            <w:pStyle w:val="9"/>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_Toc30106 </w:instrText>
          </w:r>
          <w:r>
            <w:fldChar w:fldCharType="separate"/>
          </w:r>
          <w:r>
            <w:rPr>
              <w:rFonts w:hint="eastAsia"/>
              <w:lang w:val="en-US" w:eastAsia="zh-CN"/>
            </w:rPr>
            <w:t>（三）</w:t>
          </w:r>
          <w:r>
            <w:rPr>
              <w:rFonts w:hint="default"/>
              <w:lang w:val="en-US" w:eastAsia="zh-CN"/>
            </w:rPr>
            <w:t>群众意愿有反馈</w:t>
          </w:r>
          <w:r>
            <w:tab/>
          </w:r>
          <w:r>
            <w:fldChar w:fldCharType="begin"/>
          </w:r>
          <w:r>
            <w:instrText xml:space="preserve"> PAGEREF _Toc30106 \h </w:instrText>
          </w:r>
          <w:r>
            <w:fldChar w:fldCharType="separate"/>
          </w:r>
          <w:r>
            <w:t>10</w:t>
          </w:r>
          <w:r>
            <w:fldChar w:fldCharType="end"/>
          </w:r>
          <w:r>
            <w:fldChar w:fldCharType="end"/>
          </w:r>
        </w:p>
        <w:p w14:paraId="55035FFC">
          <w:pPr>
            <w:pStyle w:val="9"/>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_Toc29337 </w:instrText>
          </w:r>
          <w:r>
            <w:fldChar w:fldCharType="separate"/>
          </w:r>
          <w:r>
            <w:rPr>
              <w:rFonts w:hint="eastAsia"/>
              <w:lang w:val="en-US" w:eastAsia="zh-CN"/>
            </w:rPr>
            <w:t>（四）</w:t>
          </w:r>
          <w:r>
            <w:rPr>
              <w:rFonts w:hint="default"/>
              <w:lang w:val="en-US" w:eastAsia="zh-CN"/>
            </w:rPr>
            <w:t>维护内容符合正向优化标准</w:t>
          </w:r>
          <w:r>
            <w:tab/>
          </w:r>
          <w:r>
            <w:fldChar w:fldCharType="begin"/>
          </w:r>
          <w:r>
            <w:instrText xml:space="preserve"> PAGEREF _Toc29337 \h </w:instrText>
          </w:r>
          <w:r>
            <w:fldChar w:fldCharType="separate"/>
          </w:r>
          <w:r>
            <w:t>10</w:t>
          </w:r>
          <w:r>
            <w:fldChar w:fldCharType="end"/>
          </w:r>
          <w:r>
            <w:fldChar w:fldCharType="end"/>
          </w:r>
        </w:p>
        <w:p w14:paraId="5E40E9C2">
          <w:pPr>
            <w:pStyle w:val="8"/>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_Toc27127 </w:instrText>
          </w:r>
          <w:r>
            <w:fldChar w:fldCharType="separate"/>
          </w:r>
          <w:r>
            <w:rPr>
              <w:rFonts w:hint="default"/>
              <w:lang w:val="en-US" w:eastAsia="zh-CN"/>
            </w:rPr>
            <w:t>五、实施保障</w:t>
          </w:r>
          <w:r>
            <w:tab/>
          </w:r>
          <w:r>
            <w:fldChar w:fldCharType="begin"/>
          </w:r>
          <w:r>
            <w:instrText xml:space="preserve"> PAGEREF _Toc27127 \h </w:instrText>
          </w:r>
          <w:r>
            <w:fldChar w:fldCharType="separate"/>
          </w:r>
          <w:r>
            <w:t>10</w:t>
          </w:r>
          <w:r>
            <w:fldChar w:fldCharType="end"/>
          </w:r>
          <w:r>
            <w:fldChar w:fldCharType="end"/>
          </w:r>
        </w:p>
        <w:p w14:paraId="6DB38508">
          <w:pPr>
            <w:pStyle w:val="9"/>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_Toc28475 </w:instrText>
          </w:r>
          <w:r>
            <w:fldChar w:fldCharType="separate"/>
          </w:r>
          <w:r>
            <w:rPr>
              <w:rFonts w:hint="default"/>
              <w:lang w:val="en-US" w:eastAsia="zh-CN"/>
            </w:rPr>
            <w:t>（一）强化向下指引，确保方案传导落实</w:t>
          </w:r>
          <w:r>
            <w:tab/>
          </w:r>
          <w:r>
            <w:fldChar w:fldCharType="begin"/>
          </w:r>
          <w:r>
            <w:instrText xml:space="preserve"> PAGEREF _Toc28475 \h </w:instrText>
          </w:r>
          <w:r>
            <w:fldChar w:fldCharType="separate"/>
          </w:r>
          <w:r>
            <w:t>10</w:t>
          </w:r>
          <w:r>
            <w:fldChar w:fldCharType="end"/>
          </w:r>
          <w:r>
            <w:fldChar w:fldCharType="end"/>
          </w:r>
        </w:p>
        <w:p w14:paraId="455E97DF">
          <w:pPr>
            <w:pStyle w:val="9"/>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_Toc14850 </w:instrText>
          </w:r>
          <w:r>
            <w:fldChar w:fldCharType="separate"/>
          </w:r>
          <w:r>
            <w:rPr>
              <w:rFonts w:hint="eastAsia"/>
              <w:lang w:val="en-US" w:eastAsia="zh-CN"/>
            </w:rPr>
            <w:t>（二）</w:t>
          </w:r>
          <w:r>
            <w:rPr>
              <w:rFonts w:hint="default"/>
              <w:lang w:val="en-US" w:eastAsia="zh-CN"/>
            </w:rPr>
            <w:t>加强实施监管，完善动态监测机制</w:t>
          </w:r>
          <w:r>
            <w:tab/>
          </w:r>
          <w:r>
            <w:fldChar w:fldCharType="begin"/>
          </w:r>
          <w:r>
            <w:instrText xml:space="preserve"> PAGEREF _Toc14850 \h </w:instrText>
          </w:r>
          <w:r>
            <w:fldChar w:fldCharType="separate"/>
          </w:r>
          <w:r>
            <w:t>11</w:t>
          </w:r>
          <w:r>
            <w:fldChar w:fldCharType="end"/>
          </w:r>
          <w:r>
            <w:fldChar w:fldCharType="end"/>
          </w:r>
        </w:p>
        <w:p w14:paraId="35DA8C8D">
          <w:pPr>
            <w:pStyle w:val="9"/>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_Toc13288 </w:instrText>
          </w:r>
          <w:r>
            <w:fldChar w:fldCharType="separate"/>
          </w:r>
          <w:r>
            <w:rPr>
              <w:rFonts w:hint="default"/>
              <w:lang w:val="en-US" w:eastAsia="zh-CN"/>
            </w:rPr>
            <w:t>（三）依托数字赋能，实现全生命周期管理</w:t>
          </w:r>
          <w:r>
            <w:tab/>
          </w:r>
          <w:r>
            <w:fldChar w:fldCharType="begin"/>
          </w:r>
          <w:r>
            <w:instrText xml:space="preserve"> PAGEREF _Toc13288 \h </w:instrText>
          </w:r>
          <w:r>
            <w:fldChar w:fldCharType="separate"/>
          </w:r>
          <w:r>
            <w:t>11</w:t>
          </w:r>
          <w:r>
            <w:fldChar w:fldCharType="end"/>
          </w:r>
          <w:r>
            <w:fldChar w:fldCharType="end"/>
          </w:r>
        </w:p>
        <w:p w14:paraId="537750A3">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imes New Roman" w:hAnsi="Times New Roman" w:eastAsia="方正小标宋简体" w:cs="方正小标宋简体"/>
              <w:kern w:val="2"/>
              <w:sz w:val="32"/>
              <w:szCs w:val="44"/>
              <w:lang w:val="en-US" w:eastAsia="zh-CN" w:bidi="ar-SA"/>
            </w:rPr>
          </w:pPr>
          <w:r>
            <w:fldChar w:fldCharType="end"/>
          </w:r>
        </w:p>
      </w:sdtContent>
    </w:sdt>
    <w:p w14:paraId="44BA80F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方正小标宋简体" w:cs="方正小标宋简体"/>
          <w:kern w:val="2"/>
          <w:sz w:val="32"/>
          <w:szCs w:val="44"/>
          <w:lang w:val="en-US" w:eastAsia="zh-CN" w:bidi="ar-SA"/>
        </w:rPr>
      </w:pPr>
    </w:p>
    <w:p w14:paraId="266EA6F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方正小标宋简体" w:cs="方正小标宋简体"/>
          <w:sz w:val="44"/>
          <w:szCs w:val="44"/>
          <w:lang w:val="en-US" w:eastAsia="zh-CN"/>
        </w:rPr>
      </w:pPr>
    </w:p>
    <w:p w14:paraId="47ABCBFA">
      <w:pPr>
        <w:jc w:val="center"/>
        <w:rPr>
          <w:rFonts w:hint="eastAsia" w:ascii="Times New Roman" w:hAnsi="Times New Roman" w:eastAsia="方正小标宋简体" w:cs="方正小标宋简体"/>
          <w:sz w:val="44"/>
          <w:szCs w:val="44"/>
          <w:lang w:val="en-US" w:eastAsia="zh-CN"/>
        </w:rPr>
        <w:sectPr>
          <w:pgSz w:w="11906" w:h="16838"/>
          <w:pgMar w:top="1440" w:right="1800" w:bottom="1440" w:left="1800" w:header="851" w:footer="992" w:gutter="0"/>
          <w:cols w:space="425" w:num="1"/>
          <w:docGrid w:type="lines" w:linePitch="312" w:charSpace="0"/>
        </w:sectPr>
      </w:pPr>
    </w:p>
    <w:p w14:paraId="4BF7A0ED">
      <w:pPr>
        <w:pStyle w:val="2"/>
        <w:bidi w:val="0"/>
        <w:rPr>
          <w:rFonts w:hint="eastAsia"/>
          <w:lang w:val="en-US" w:eastAsia="zh-CN"/>
        </w:rPr>
      </w:pPr>
      <w:bookmarkStart w:id="0" w:name="_Toc17786"/>
      <w:bookmarkStart w:id="1" w:name="_Toc10132"/>
      <w:r>
        <w:rPr>
          <w:rFonts w:hint="eastAsia"/>
          <w:lang w:val="en-US" w:eastAsia="zh-CN"/>
        </w:rPr>
        <w:t>一、总则</w:t>
      </w:r>
      <w:bookmarkEnd w:id="0"/>
      <w:bookmarkEnd w:id="1"/>
    </w:p>
    <w:p w14:paraId="478F1F03">
      <w:pPr>
        <w:pStyle w:val="3"/>
        <w:bidi w:val="0"/>
        <w:rPr>
          <w:rFonts w:hint="default"/>
          <w:lang w:val="en-US" w:eastAsia="zh-CN"/>
        </w:rPr>
      </w:pPr>
      <w:bookmarkStart w:id="2" w:name="_Toc24652"/>
      <w:bookmarkStart w:id="3" w:name="_Toc11817"/>
      <w:r>
        <w:rPr>
          <w:rFonts w:hint="eastAsia"/>
          <w:lang w:val="en-US" w:eastAsia="zh-CN"/>
        </w:rPr>
        <w:t>（一）工作背景</w:t>
      </w:r>
      <w:bookmarkEnd w:id="2"/>
      <w:bookmarkEnd w:id="3"/>
    </w:p>
    <w:p w14:paraId="4EAED832">
      <w:pPr>
        <w:rPr>
          <w:rFonts w:hint="eastAsia"/>
          <w:lang w:val="en-US" w:eastAsia="zh-CN"/>
        </w:rPr>
      </w:pPr>
      <w:r>
        <w:rPr>
          <w:rFonts w:hint="eastAsia"/>
          <w:lang w:val="en-US" w:eastAsia="zh-CN"/>
        </w:rPr>
        <w:t>“十五五”是清原满族自治县（以下简称“清原县”）发展大有可为又充满挑战的重要战略机遇期。为</w:t>
      </w:r>
      <w:r>
        <w:rPr>
          <w:rFonts w:hint="default"/>
          <w:lang w:val="en-US" w:eastAsia="zh-CN"/>
        </w:rPr>
        <w:t>深入贯彻党的二十届四中全会精神，按照全国自然资源工作会议及2026年工作要点有关要求，进一步发挥国土空间规划基础作用，</w:t>
      </w:r>
      <w:r>
        <w:rPr>
          <w:rFonts w:hint="eastAsia"/>
          <w:lang w:val="en-US" w:eastAsia="zh-CN"/>
        </w:rPr>
        <w:t>提高国土空间总体规划对经济社会发展的适应性，</w:t>
      </w:r>
      <w:r>
        <w:rPr>
          <w:rFonts w:hint="default"/>
          <w:lang w:val="en-US" w:eastAsia="zh-CN"/>
        </w:rPr>
        <w:t>加强空间布局引领和自然资源要素配置，促进形成优势互补、高质量发展的区域经济布局和国土空间体系</w:t>
      </w:r>
      <w:r>
        <w:rPr>
          <w:rFonts w:hint="eastAsia"/>
          <w:lang w:val="en-US" w:eastAsia="zh-CN"/>
        </w:rPr>
        <w:t>，有力保障建设项目空间需求。依据《辽宁省自然资源厅办公室关于动态调整完善市县级国土空间总体规划的通知》（辽自然资办函〔2026〕61号）以及《自然资源部国土空间规划局关于国土空间总体规划动态调整完善工作有关问题的答复》（自然资空间规划函〔2025〕411号）《自然资源部国土空间规划局关于国土空间总体规划动态调整完善工作有关问题的答复（第二版）》（自然资空间规划函〔2026〕37号）等有关要求及相关工作部署，编制《清原满族自治县2026年度国土空间总体规划（2021—2035年）动态维护方案》（以下简称《方案》）。</w:t>
      </w:r>
    </w:p>
    <w:p w14:paraId="00738858">
      <w:pPr>
        <w:pStyle w:val="3"/>
        <w:bidi w:val="0"/>
        <w:rPr>
          <w:rFonts w:hint="eastAsia"/>
          <w:lang w:val="en-US" w:eastAsia="zh-CN"/>
        </w:rPr>
      </w:pPr>
      <w:bookmarkStart w:id="4" w:name="_Toc6693"/>
      <w:bookmarkStart w:id="5" w:name="_Toc5034"/>
      <w:r>
        <w:rPr>
          <w:rFonts w:hint="eastAsia"/>
          <w:lang w:val="en-US" w:eastAsia="zh-CN"/>
        </w:rPr>
        <w:t>（二）任务与目的</w:t>
      </w:r>
      <w:bookmarkEnd w:id="4"/>
      <w:bookmarkEnd w:id="5"/>
    </w:p>
    <w:p w14:paraId="05AA729F">
      <w:pPr>
        <w:rPr>
          <w:rFonts w:hint="eastAsia"/>
          <w:lang w:val="en-US" w:eastAsia="zh-CN"/>
        </w:rPr>
      </w:pPr>
      <w:r>
        <w:rPr>
          <w:rFonts w:hint="eastAsia"/>
          <w:lang w:val="en-US" w:eastAsia="zh-CN"/>
        </w:rPr>
        <w:t>《方案》</w:t>
      </w:r>
      <w:r>
        <w:rPr>
          <w:rFonts w:hint="default"/>
          <w:lang w:val="en-US" w:eastAsia="zh-CN"/>
        </w:rPr>
        <w:t>基于</w:t>
      </w:r>
      <w:r>
        <w:rPr>
          <w:rFonts w:hint="eastAsia"/>
          <w:lang w:val="en-US" w:eastAsia="zh-CN"/>
        </w:rPr>
        <w:t>《</w:t>
      </w:r>
      <w:r>
        <w:rPr>
          <w:rFonts w:hint="default"/>
          <w:lang w:val="en-US" w:eastAsia="zh-CN"/>
        </w:rPr>
        <w:t>清原满族自治县2024年度国土空间规划城市体检评估报告</w:t>
      </w:r>
      <w:r>
        <w:rPr>
          <w:rFonts w:hint="eastAsia"/>
          <w:lang w:val="en-US" w:eastAsia="zh-CN"/>
        </w:rPr>
        <w:t>》</w:t>
      </w:r>
      <w:r>
        <w:rPr>
          <w:rFonts w:hint="default"/>
          <w:lang w:val="en-US" w:eastAsia="zh-CN"/>
        </w:rPr>
        <w:t>，</w:t>
      </w:r>
      <w:r>
        <w:rPr>
          <w:rFonts w:hint="eastAsia"/>
          <w:lang w:val="en-US" w:eastAsia="zh-CN"/>
        </w:rPr>
        <w:t>核心任务及目标是</w:t>
      </w:r>
      <w:r>
        <w:rPr>
          <w:rFonts w:hint="default"/>
          <w:lang w:val="en-US" w:eastAsia="zh-CN"/>
        </w:rPr>
        <w:t>在坚守安全底线、不突破核心指标、不改变空间结构格局的前提下，</w:t>
      </w:r>
      <w:r>
        <w:rPr>
          <w:rFonts w:hint="eastAsia" w:ascii="仿宋" w:hAnsi="仿宋" w:eastAsia="仿宋" w:cs="仿宋"/>
          <w:kern w:val="2"/>
          <w:sz w:val="32"/>
          <w:szCs w:val="32"/>
          <w:lang w:val="en-US" w:eastAsia="zh-CN" w:bidi="ar"/>
        </w:rPr>
        <w:t>重点对</w:t>
      </w:r>
      <w:r>
        <w:rPr>
          <w:rFonts w:hint="default"/>
          <w:lang w:val="en-US" w:eastAsia="zh-CN"/>
        </w:rPr>
        <w:t>三条控制线（耕地和永久基本农田保护红线、生态保护红线、城镇开发边界）、规划分区、中心城区用地用海规划布局、城市重要控制线具体布局、重点建设项目清单、详细规划编制单元等</w:t>
      </w:r>
      <w:r>
        <w:rPr>
          <w:rFonts w:hint="eastAsia"/>
          <w:lang w:val="en-US" w:eastAsia="zh-CN"/>
        </w:rPr>
        <w:t>进行正向优化，同时衔接“十五五”经济社会发展规划和专项规划，更新规划重点项目清单，保障“十五五”建设项目落地实施。</w:t>
      </w:r>
    </w:p>
    <w:p w14:paraId="5F2D3382">
      <w:pPr>
        <w:pStyle w:val="3"/>
        <w:bidi w:val="0"/>
        <w:rPr>
          <w:rFonts w:hint="eastAsia"/>
          <w:lang w:val="en-US" w:eastAsia="zh-CN"/>
        </w:rPr>
      </w:pPr>
      <w:bookmarkStart w:id="6" w:name="_Toc17477"/>
      <w:bookmarkStart w:id="7" w:name="_Toc27223"/>
      <w:r>
        <w:rPr>
          <w:rFonts w:hint="eastAsia"/>
          <w:lang w:val="en-US" w:eastAsia="zh-CN"/>
        </w:rPr>
        <w:t>（三）编制范围</w:t>
      </w:r>
      <w:bookmarkEnd w:id="6"/>
      <w:bookmarkEnd w:id="7"/>
    </w:p>
    <w:p w14:paraId="1A08D82D">
      <w:pPr>
        <w:rPr>
          <w:rFonts w:hint="eastAsia"/>
          <w:lang w:val="en-US" w:eastAsia="zh-CN"/>
        </w:rPr>
      </w:pPr>
      <w:r>
        <w:rPr>
          <w:rFonts w:hint="eastAsia"/>
          <w:lang w:val="en-US" w:eastAsia="zh-CN"/>
        </w:rPr>
        <w:t>本次规划动态维护范围与《</w:t>
      </w:r>
      <w:r>
        <w:rPr>
          <w:rFonts w:hint="default"/>
          <w:lang w:val="en-US" w:eastAsia="zh-CN"/>
        </w:rPr>
        <w:t>清原满族自治县国土空间总体规划</w:t>
      </w:r>
      <w:r>
        <w:rPr>
          <w:rFonts w:hint="eastAsia"/>
          <w:lang w:val="en-US" w:eastAsia="zh-CN"/>
        </w:rPr>
        <w:t>（</w:t>
      </w:r>
      <w:r>
        <w:rPr>
          <w:rFonts w:hint="default"/>
          <w:lang w:val="en-US" w:eastAsia="zh-CN"/>
        </w:rPr>
        <w:t>2021</w:t>
      </w:r>
      <w:r>
        <w:rPr>
          <w:rFonts w:hint="eastAsia"/>
          <w:lang w:val="en-US" w:eastAsia="zh-CN"/>
        </w:rPr>
        <w:t>—</w:t>
      </w:r>
      <w:r>
        <w:rPr>
          <w:rFonts w:hint="default"/>
          <w:lang w:val="en-US" w:eastAsia="zh-CN"/>
        </w:rPr>
        <w:t>2035年</w:t>
      </w:r>
      <w:r>
        <w:rPr>
          <w:rFonts w:hint="eastAsia"/>
          <w:lang w:val="en-US" w:eastAsia="zh-CN"/>
        </w:rPr>
        <w:t>）》（以下简称《总体规划》）一致，分为县域和中心城区两个层次。</w:t>
      </w:r>
    </w:p>
    <w:p w14:paraId="2A1D1400">
      <w:pPr>
        <w:rPr>
          <w:rFonts w:hint="eastAsia"/>
          <w:lang w:val="en-US" w:eastAsia="zh-CN"/>
        </w:rPr>
      </w:pPr>
      <w:r>
        <w:rPr>
          <w:rFonts w:hint="eastAsia"/>
          <w:lang w:val="en-US" w:eastAsia="zh-CN"/>
        </w:rPr>
        <w:t>县域规划范围为清原县行政辖区内的全部国土空间，包括清原镇、红透山镇、北三家镇、草市镇、英额门镇、南口前镇、南山城镇、湾甸子镇、大孤家镇、夏家堡镇、土口子乡、敖家堡镇、大苏河乡、枸乃甸乡。中心城区范围为清原镇的部分国土空间。</w:t>
      </w:r>
    </w:p>
    <w:p w14:paraId="4302E23A">
      <w:pPr>
        <w:pStyle w:val="3"/>
        <w:bidi w:val="0"/>
        <w:rPr>
          <w:rFonts w:hint="eastAsia"/>
          <w:lang w:val="en-US" w:eastAsia="zh-CN"/>
        </w:rPr>
      </w:pPr>
      <w:bookmarkStart w:id="8" w:name="_Toc21883"/>
      <w:bookmarkStart w:id="9" w:name="_Toc14321"/>
      <w:r>
        <w:rPr>
          <w:rFonts w:hint="eastAsia"/>
          <w:lang w:val="en-US" w:eastAsia="zh-CN"/>
        </w:rPr>
        <w:t>（四）编制原则</w:t>
      </w:r>
      <w:bookmarkEnd w:id="8"/>
      <w:bookmarkEnd w:id="9"/>
    </w:p>
    <w:p w14:paraId="6E7701A1">
      <w:pPr>
        <w:pStyle w:val="4"/>
        <w:bidi w:val="0"/>
        <w:rPr>
          <w:rFonts w:hint="eastAsia"/>
          <w:lang w:val="en-US" w:eastAsia="zh-CN"/>
        </w:rPr>
      </w:pPr>
      <w:bookmarkStart w:id="10" w:name="_Toc2345"/>
      <w:r>
        <w:rPr>
          <w:rFonts w:hint="eastAsia"/>
          <w:lang w:val="en-US" w:eastAsia="zh-CN"/>
        </w:rPr>
        <w:t>1.底线约束与总量管控原则</w:t>
      </w:r>
      <w:bookmarkEnd w:id="10"/>
    </w:p>
    <w:p w14:paraId="6C33608D">
      <w:pPr>
        <w:rPr>
          <w:rFonts w:hint="eastAsia"/>
          <w:lang w:val="en-US" w:eastAsia="zh-CN"/>
        </w:rPr>
      </w:pPr>
      <w:r>
        <w:rPr>
          <w:rFonts w:hint="eastAsia"/>
          <w:lang w:val="en-US" w:eastAsia="zh-CN"/>
        </w:rPr>
        <w:t>坚决维护国土空间规划、“三区三线”划定成果的严肃性和权威性，坚持耕地保护、生态保护优先，严守生态保护红线、耕地和永久基本农田保护底线，确保规划目标指标不得低于总体规划确定的规模；遵循城镇开发边界管控要求，不突破本级国土空间总体规划确定的保护目标任务，不改变总体规划确定的空间结构和总体格局。</w:t>
      </w:r>
    </w:p>
    <w:p w14:paraId="013FA12A">
      <w:pPr>
        <w:pStyle w:val="4"/>
        <w:bidi w:val="0"/>
        <w:rPr>
          <w:rFonts w:hint="eastAsia"/>
          <w:lang w:val="en-US" w:eastAsia="zh-CN"/>
        </w:rPr>
      </w:pPr>
      <w:bookmarkStart w:id="11" w:name="_Toc7331"/>
      <w:r>
        <w:rPr>
          <w:rFonts w:hint="eastAsia"/>
          <w:lang w:val="en-US" w:eastAsia="zh-CN"/>
        </w:rPr>
        <w:t>2.正向优化与质量提升原则</w:t>
      </w:r>
      <w:bookmarkEnd w:id="11"/>
    </w:p>
    <w:p w14:paraId="55A8B9EB">
      <w:pPr>
        <w:rPr>
          <w:rFonts w:hint="eastAsia"/>
          <w:lang w:val="en-US" w:eastAsia="zh-CN"/>
        </w:rPr>
      </w:pPr>
      <w:r>
        <w:rPr>
          <w:rFonts w:hint="eastAsia"/>
          <w:lang w:val="en-US" w:eastAsia="zh-CN"/>
        </w:rPr>
        <w:t>遵循“三条控制线”现行相关法律法规和政策文件，严格执行“三条控制线”正向优化标准开展动态维护，不得开展不符合正向优化标准的调整，确保耕地数量不减少、质量生态有提升、布局更优化；生态保护红线任务不减少、功能有提升、布局更完善；城镇空间总量不突破、布局更集聚、城镇功能品质有提升。</w:t>
      </w:r>
    </w:p>
    <w:p w14:paraId="6D2BD900">
      <w:pPr>
        <w:pStyle w:val="4"/>
        <w:bidi w:val="0"/>
        <w:rPr>
          <w:rFonts w:hint="eastAsia"/>
          <w:lang w:val="en-US" w:eastAsia="zh-CN"/>
        </w:rPr>
      </w:pPr>
      <w:bookmarkStart w:id="12" w:name="_Toc26965"/>
      <w:r>
        <w:rPr>
          <w:rFonts w:hint="eastAsia"/>
          <w:lang w:val="en-US" w:eastAsia="zh-CN"/>
        </w:rPr>
        <w:t>3.规划协同与系统传导原则</w:t>
      </w:r>
      <w:bookmarkEnd w:id="12"/>
    </w:p>
    <w:p w14:paraId="1D7F32A3">
      <w:pPr>
        <w:rPr>
          <w:rFonts w:hint="eastAsia"/>
          <w:lang w:val="en-US" w:eastAsia="zh-CN"/>
        </w:rPr>
      </w:pPr>
      <w:r>
        <w:rPr>
          <w:rFonts w:hint="eastAsia"/>
          <w:lang w:val="en-US" w:eastAsia="zh-CN"/>
        </w:rPr>
        <w:t>对接“十五五”发展规划及各部门专项规划，聚焦重大项目落地、产业升级、民生保障、城市更新等重点工作，衔接重大项目建设需求，将共识空间需求纳入维护方案，确保“多规合一”，保障重大项目空间需求，实现空间协同利用。确保上下协同、管控一致。同步衔接详细规划，总体规划动态维护将为城镇开发边界内详细规划编制或修订提供依据，用地布局调整需考虑与未来详细规划机制对接。</w:t>
      </w:r>
    </w:p>
    <w:p w14:paraId="6ACE0845">
      <w:pPr>
        <w:pStyle w:val="4"/>
        <w:bidi w:val="0"/>
        <w:rPr>
          <w:rFonts w:hint="eastAsia"/>
          <w:lang w:val="en-US" w:eastAsia="zh-CN"/>
        </w:rPr>
      </w:pPr>
      <w:bookmarkStart w:id="13" w:name="_Toc30156"/>
      <w:r>
        <w:rPr>
          <w:rFonts w:hint="eastAsia"/>
          <w:lang w:val="en-US" w:eastAsia="zh-CN"/>
        </w:rPr>
        <w:t>4.程序规范与公众参与原则</w:t>
      </w:r>
      <w:bookmarkEnd w:id="13"/>
    </w:p>
    <w:p w14:paraId="51F3D419">
      <w:pPr>
        <w:rPr>
          <w:rFonts w:hint="eastAsia"/>
          <w:lang w:val="en-US" w:eastAsia="zh-CN"/>
        </w:rPr>
      </w:pPr>
      <w:r>
        <w:rPr>
          <w:rFonts w:hint="eastAsia"/>
          <w:lang w:val="en-US" w:eastAsia="zh-CN"/>
        </w:rPr>
        <w:t>严格按照国家、自治区关于规划动态维护的相关法律法规和政策要求，坚持政府组织、部门协同、专家领衔、公众参与的方式，建立健全全社会、全过程、多渠道的公众参与和社会协同机制，广泛征求专家、部门或单位、社会公众意见，举行听证，通过规委会或政府常务会审议，完成审查报批等工作，确保动态维护过程合规、成果合法，提升决策透明度和科学性。所有维护内容纳入国土空间规划“一张图”管控，确保数、线、图一致，做到全程可追溯、可核查。</w:t>
      </w:r>
    </w:p>
    <w:p w14:paraId="3A13E65D">
      <w:pPr>
        <w:pStyle w:val="2"/>
        <w:bidi w:val="0"/>
        <w:rPr>
          <w:rFonts w:hint="eastAsia"/>
          <w:lang w:val="en-US" w:eastAsia="zh-CN"/>
        </w:rPr>
      </w:pPr>
      <w:bookmarkStart w:id="14" w:name="_Toc8434"/>
      <w:bookmarkStart w:id="15" w:name="_Toc25781"/>
      <w:r>
        <w:rPr>
          <w:rFonts w:hint="eastAsia"/>
          <w:lang w:val="en-US" w:eastAsia="zh-CN"/>
        </w:rPr>
        <w:t>二、规划实施评估</w:t>
      </w:r>
      <w:bookmarkEnd w:id="14"/>
      <w:bookmarkEnd w:id="15"/>
    </w:p>
    <w:p w14:paraId="231D1CCF">
      <w:pPr>
        <w:pStyle w:val="3"/>
        <w:bidi w:val="0"/>
        <w:rPr>
          <w:rFonts w:hint="default"/>
          <w:lang w:val="en-US" w:eastAsia="zh-CN"/>
        </w:rPr>
      </w:pPr>
      <w:bookmarkStart w:id="16" w:name="_Toc15975"/>
      <w:bookmarkStart w:id="17" w:name="_Toc29374"/>
      <w:bookmarkStart w:id="18" w:name="_Toc950"/>
      <w:r>
        <w:rPr>
          <w:rFonts w:hint="eastAsia"/>
          <w:lang w:val="en-US" w:eastAsia="zh-CN"/>
        </w:rPr>
        <w:t>（一）阶段性成效</w:t>
      </w:r>
      <w:bookmarkEnd w:id="16"/>
    </w:p>
    <w:p w14:paraId="4EB3448A">
      <w:pPr>
        <w:pStyle w:val="4"/>
        <w:bidi w:val="0"/>
        <w:rPr>
          <w:rFonts w:hint="eastAsia"/>
          <w:lang w:val="en-US" w:eastAsia="zh-CN"/>
        </w:rPr>
      </w:pPr>
      <w:r>
        <w:rPr>
          <w:rFonts w:hint="eastAsia"/>
          <w:lang w:val="en-US" w:eastAsia="zh-CN"/>
        </w:rPr>
        <w:t>1.空间底线管控到位，保护行动扎实推动</w:t>
      </w:r>
      <w:bookmarkEnd w:id="17"/>
    </w:p>
    <w:p w14:paraId="31FF509E">
      <w:pPr>
        <w:rPr>
          <w:rFonts w:hint="eastAsia"/>
          <w:lang w:val="en-US" w:eastAsia="zh-CN"/>
        </w:rPr>
      </w:pPr>
      <w:r>
        <w:rPr>
          <w:rFonts w:hint="eastAsia"/>
          <w:lang w:val="en-US" w:eastAsia="zh-CN"/>
        </w:rPr>
        <w:t>严格落实国家和自治区对永久基本农田保护红线、生态保护红线与城镇开发边界的管控要求，在用地规模与结构上，建设用地总面积较规划基期年大幅减少，城乡建设用地面积下降，人均指标符合国家要求。通过严格落实耕地保护责任制，逐级签订责任书，确保永久基本农田保护面积不低于上级下达任务，守住耕地红线和粮食安全底线，通过高标准农田等项目实施，基本农田集中连片程度及耕地质量得到提升。生态保护红线自批复以来未进行过调整，严守空间底线。</w:t>
      </w:r>
    </w:p>
    <w:p w14:paraId="78B132E8">
      <w:pPr>
        <w:pStyle w:val="4"/>
        <w:bidi w:val="0"/>
        <w:rPr>
          <w:rFonts w:hint="eastAsia"/>
          <w:lang w:val="en-US" w:eastAsia="zh-CN"/>
        </w:rPr>
      </w:pPr>
      <w:bookmarkStart w:id="19" w:name="_Toc20644"/>
      <w:r>
        <w:rPr>
          <w:rFonts w:hint="eastAsia"/>
          <w:lang w:val="en-US" w:eastAsia="zh-CN"/>
        </w:rPr>
        <w:t>2.支撑系统日益完备，功能布局逐步优化</w:t>
      </w:r>
      <w:bookmarkEnd w:id="19"/>
    </w:p>
    <w:p w14:paraId="20738899">
      <w:pPr>
        <w:rPr>
          <w:rFonts w:hint="eastAsia"/>
          <w:lang w:val="en-US" w:eastAsia="zh-CN"/>
        </w:rPr>
      </w:pPr>
      <w:r>
        <w:rPr>
          <w:rFonts w:hint="eastAsia"/>
          <w:lang w:val="en-US" w:eastAsia="zh-CN"/>
        </w:rPr>
        <w:t>原满族自治县作为辽东生态屏障的重要节点、抚顺市域副中心及绿色产业发展基地，通过强化生态治理、推进森林可持续经营试点、完善“林长制”“河长制”等举措，生态环境显著改善。在区域协同方面，通过加入沈阳现代化都市圈旅游宣传推广平台，红河峡谷漂流景区成为全国生态旅游知名IP。重点地区民生支出大幅增加，老旧小区改造、供水供热等群众关切问题得到加快解决，长岭街铁路道口平改立工程贯通。</w:t>
      </w:r>
    </w:p>
    <w:p w14:paraId="3F80B2A1">
      <w:pPr>
        <w:pStyle w:val="3"/>
        <w:bidi w:val="0"/>
        <w:rPr>
          <w:rFonts w:hint="default"/>
          <w:lang w:val="en-US" w:eastAsia="zh-CN"/>
        </w:rPr>
      </w:pPr>
      <w:bookmarkStart w:id="20" w:name="_Toc18158"/>
      <w:bookmarkStart w:id="21" w:name="_Toc28484"/>
      <w:r>
        <w:rPr>
          <w:rFonts w:hint="eastAsia"/>
          <w:lang w:val="en-US" w:eastAsia="zh-CN"/>
        </w:rPr>
        <w:t>（二）</w:t>
      </w:r>
      <w:bookmarkEnd w:id="20"/>
      <w:bookmarkEnd w:id="21"/>
      <w:r>
        <w:rPr>
          <w:rFonts w:hint="eastAsia"/>
          <w:lang w:val="en-US" w:eastAsia="zh-CN"/>
        </w:rPr>
        <w:t>问题与不足</w:t>
      </w:r>
    </w:p>
    <w:p w14:paraId="2701F512">
      <w:pPr>
        <w:pStyle w:val="4"/>
        <w:bidi w:val="0"/>
        <w:rPr>
          <w:rFonts w:hint="default"/>
          <w:lang w:val="en-US" w:eastAsia="zh-CN"/>
        </w:rPr>
      </w:pPr>
      <w:bookmarkStart w:id="22" w:name="_Toc3213"/>
      <w:r>
        <w:rPr>
          <w:rFonts w:hint="eastAsia"/>
          <w:lang w:val="en-US" w:eastAsia="zh-CN"/>
        </w:rPr>
        <w:t>1.经济高质量支撑不足</w:t>
      </w:r>
      <w:bookmarkEnd w:id="22"/>
    </w:p>
    <w:p w14:paraId="6B389947">
      <w:pPr>
        <w:rPr>
          <w:rFonts w:hint="eastAsia"/>
          <w:lang w:val="en-US" w:eastAsia="zh-CN"/>
        </w:rPr>
      </w:pPr>
      <w:r>
        <w:rPr>
          <w:rFonts w:hint="eastAsia"/>
          <w:lang w:val="en-US" w:eastAsia="zh-CN"/>
        </w:rPr>
        <w:t>当前仍面临经济发展质量不高、重大项目支撑不足、财政收支矛盾突出等问题，需要加快产业转型升级、完善招商引资机制、优化财政结构并强化干部队伍建设。</w:t>
      </w:r>
    </w:p>
    <w:p w14:paraId="24399E02">
      <w:pPr>
        <w:pStyle w:val="4"/>
        <w:bidi w:val="0"/>
        <w:rPr>
          <w:rFonts w:hint="default"/>
          <w:lang w:val="en-US" w:eastAsia="zh-CN"/>
        </w:rPr>
      </w:pPr>
      <w:bookmarkStart w:id="23" w:name="_Toc30951"/>
      <w:r>
        <w:rPr>
          <w:rFonts w:hint="eastAsia"/>
          <w:lang w:val="en-US" w:eastAsia="zh-CN"/>
        </w:rPr>
        <w:t>2</w:t>
      </w:r>
      <w:r>
        <w:rPr>
          <w:rFonts w:hint="default"/>
          <w:lang w:val="en-US" w:eastAsia="zh-CN"/>
        </w:rPr>
        <w:t>.三条控制线局部空间冲突尚未完全化解</w:t>
      </w:r>
      <w:bookmarkEnd w:id="23"/>
    </w:p>
    <w:p w14:paraId="65AB7763">
      <w:pPr>
        <w:rPr>
          <w:rFonts w:hint="default"/>
          <w:lang w:val="en-US" w:eastAsia="zh-CN"/>
        </w:rPr>
      </w:pPr>
      <w:r>
        <w:rPr>
          <w:rFonts w:hint="default"/>
          <w:lang w:val="en-US" w:eastAsia="zh-CN"/>
        </w:rPr>
        <w:t>部分依法设立且早于红线划定的矿业权与生态保护红线存在重叠，影响资源</w:t>
      </w:r>
      <w:r>
        <w:rPr>
          <w:rFonts w:hint="eastAsia"/>
          <w:lang w:val="en-US" w:eastAsia="zh-CN"/>
        </w:rPr>
        <w:t>的合理</w:t>
      </w:r>
      <w:r>
        <w:rPr>
          <w:rFonts w:hint="default"/>
          <w:lang w:val="en-US" w:eastAsia="zh-CN"/>
        </w:rPr>
        <w:t>开发利用和企业合法权益。</w:t>
      </w:r>
      <w:r>
        <w:rPr>
          <w:rFonts w:hint="eastAsia"/>
          <w:lang w:val="en-US" w:eastAsia="zh-CN"/>
        </w:rPr>
        <w:t>部分旅游保障设施建设因位于生态保护红线内，无法有效实施，</w:t>
      </w:r>
      <w:r>
        <w:rPr>
          <w:rFonts w:hint="default"/>
          <w:lang w:val="en-US" w:eastAsia="zh-CN"/>
        </w:rPr>
        <w:t>制约经济社会发展和乡村振兴</w:t>
      </w:r>
      <w:r>
        <w:rPr>
          <w:rFonts w:hint="eastAsia"/>
          <w:lang w:val="en-US" w:eastAsia="zh-CN"/>
        </w:rPr>
        <w:t>战略</w:t>
      </w:r>
      <w:r>
        <w:rPr>
          <w:rFonts w:hint="default"/>
          <w:lang w:val="en-US" w:eastAsia="zh-CN"/>
        </w:rPr>
        <w:t>实施。</w:t>
      </w:r>
    </w:p>
    <w:p w14:paraId="0AEB2C23">
      <w:pPr>
        <w:pStyle w:val="4"/>
        <w:bidi w:val="0"/>
        <w:rPr>
          <w:rFonts w:hint="default"/>
          <w:lang w:val="en-US" w:eastAsia="zh-CN"/>
        </w:rPr>
      </w:pPr>
      <w:bookmarkStart w:id="24" w:name="_Toc6184"/>
      <w:r>
        <w:rPr>
          <w:rFonts w:hint="eastAsia"/>
          <w:lang w:val="en-US" w:eastAsia="zh-CN"/>
        </w:rPr>
        <w:t>3</w:t>
      </w:r>
      <w:r>
        <w:rPr>
          <w:rFonts w:hint="default"/>
          <w:lang w:val="en-US" w:eastAsia="zh-CN"/>
        </w:rPr>
        <w:t>.中心城区用地布局面临调整需求</w:t>
      </w:r>
      <w:bookmarkEnd w:id="24"/>
    </w:p>
    <w:p w14:paraId="3FA5D15C">
      <w:pPr>
        <w:rPr>
          <w:rFonts w:hint="default"/>
          <w:lang w:val="en-US" w:eastAsia="zh-CN"/>
        </w:rPr>
      </w:pPr>
      <w:r>
        <w:rPr>
          <w:rFonts w:hint="default"/>
          <w:lang w:val="en-US" w:eastAsia="zh-CN"/>
        </w:rPr>
        <w:t>规划强制性内容不允许调出导致剩余路网、绿地及公服等用地，造成指标闲置、用地布局零散，与实际建设需求产生矛盾。此外，由于项目实际推进以及“十五五”项目谋划需求</w:t>
      </w:r>
      <w:r>
        <w:rPr>
          <w:rFonts w:hint="eastAsia"/>
          <w:lang w:val="en-US" w:eastAsia="zh-CN"/>
        </w:rPr>
        <w:t>，</w:t>
      </w:r>
      <w:r>
        <w:rPr>
          <w:rFonts w:hint="default"/>
          <w:lang w:val="en-US" w:eastAsia="zh-CN"/>
        </w:rPr>
        <w:t>用地布局需求发生变化。城市四线作为强制性内容，</w:t>
      </w:r>
      <w:r>
        <w:rPr>
          <w:rFonts w:hint="eastAsia"/>
          <w:lang w:val="en-US" w:eastAsia="zh-CN"/>
        </w:rPr>
        <w:t>使得</w:t>
      </w:r>
      <w:r>
        <w:rPr>
          <w:rFonts w:hint="default"/>
          <w:lang w:val="en-US" w:eastAsia="zh-CN"/>
        </w:rPr>
        <w:t>某些重大项目难以落地或用地被切割</w:t>
      </w:r>
      <w:r>
        <w:rPr>
          <w:rFonts w:hint="eastAsia"/>
          <w:lang w:val="en-US" w:eastAsia="zh-CN"/>
        </w:rPr>
        <w:t>。</w:t>
      </w:r>
    </w:p>
    <w:p w14:paraId="413FEB43">
      <w:pPr>
        <w:pStyle w:val="2"/>
        <w:bidi w:val="0"/>
        <w:rPr>
          <w:rFonts w:hint="default"/>
          <w:lang w:val="en-US" w:eastAsia="zh-CN"/>
        </w:rPr>
      </w:pPr>
      <w:bookmarkStart w:id="25" w:name="_Toc18691"/>
      <w:r>
        <w:rPr>
          <w:rFonts w:hint="eastAsia"/>
          <w:lang w:val="en-US" w:eastAsia="zh-CN"/>
        </w:rPr>
        <w:t>三</w:t>
      </w:r>
      <w:r>
        <w:rPr>
          <w:rFonts w:hint="default"/>
          <w:lang w:val="en-US" w:eastAsia="zh-CN"/>
        </w:rPr>
        <w:t>、动态维护方案</w:t>
      </w:r>
      <w:bookmarkEnd w:id="18"/>
      <w:bookmarkEnd w:id="25"/>
    </w:p>
    <w:p w14:paraId="09254C46">
      <w:pPr>
        <w:pStyle w:val="3"/>
        <w:bidi w:val="0"/>
        <w:rPr>
          <w:rFonts w:hint="default"/>
          <w:lang w:val="en-US" w:eastAsia="zh-CN"/>
        </w:rPr>
      </w:pPr>
      <w:bookmarkStart w:id="26" w:name="_Toc15809"/>
      <w:bookmarkStart w:id="27" w:name="_Toc17463"/>
      <w:r>
        <w:rPr>
          <w:rFonts w:hint="default"/>
          <w:lang w:val="en-US" w:eastAsia="zh-CN"/>
        </w:rPr>
        <w:t>（一）</w:t>
      </w:r>
      <w:bookmarkEnd w:id="26"/>
      <w:r>
        <w:rPr>
          <w:rFonts w:hint="eastAsia"/>
          <w:lang w:val="en-US" w:eastAsia="zh-CN"/>
        </w:rPr>
        <w:t>三条控制线</w:t>
      </w:r>
      <w:bookmarkEnd w:id="27"/>
    </w:p>
    <w:p w14:paraId="4C8B1E3D">
      <w:pPr>
        <w:pStyle w:val="4"/>
        <w:bidi w:val="0"/>
        <w:rPr>
          <w:rFonts w:hint="default"/>
          <w:lang w:val="en-US" w:eastAsia="zh-CN"/>
        </w:rPr>
      </w:pPr>
      <w:bookmarkStart w:id="28" w:name="_Toc20202"/>
      <w:r>
        <w:rPr>
          <w:rFonts w:hint="eastAsia"/>
          <w:lang w:val="en-US" w:eastAsia="zh-CN"/>
        </w:rPr>
        <w:t>1.</w:t>
      </w:r>
      <w:r>
        <w:rPr>
          <w:rFonts w:hint="default"/>
          <w:lang w:val="en-US" w:eastAsia="zh-CN"/>
        </w:rPr>
        <w:t>耕地和永久基本农田</w:t>
      </w:r>
      <w:bookmarkEnd w:id="28"/>
    </w:p>
    <w:p w14:paraId="5B495A51">
      <w:pPr>
        <w:rPr>
          <w:rFonts w:hint="eastAsia"/>
          <w:lang w:val="en-US" w:eastAsia="zh-CN"/>
        </w:rPr>
      </w:pPr>
      <w:r>
        <w:rPr>
          <w:rFonts w:hint="eastAsia"/>
          <w:lang w:val="en-US" w:eastAsia="zh-CN"/>
        </w:rPr>
        <w:t>《总体规划》</w:t>
      </w:r>
      <w:r>
        <w:rPr>
          <w:rFonts w:hint="default"/>
          <w:lang w:val="en-US" w:eastAsia="zh-CN"/>
        </w:rPr>
        <w:t>确定</w:t>
      </w:r>
      <w:r>
        <w:rPr>
          <w:rFonts w:hint="eastAsia"/>
          <w:lang w:val="en-US" w:eastAsia="zh-CN"/>
        </w:rPr>
        <w:t>清原县</w:t>
      </w:r>
      <w:r>
        <w:rPr>
          <w:rFonts w:hint="default"/>
          <w:lang w:val="en-US" w:eastAsia="zh-CN"/>
        </w:rPr>
        <w:t>耕地保护目标不低于</w:t>
      </w:r>
      <w:r>
        <w:rPr>
          <w:rFonts w:hint="eastAsia"/>
          <w:lang w:val="en-US" w:eastAsia="zh-CN"/>
        </w:rPr>
        <w:t>100.69</w:t>
      </w:r>
      <w:r>
        <w:rPr>
          <w:rFonts w:hint="default"/>
          <w:lang w:val="en-US" w:eastAsia="zh-CN"/>
        </w:rPr>
        <w:t>万亩，本次不对耕地保护目标开展动态维护</w:t>
      </w:r>
      <w:r>
        <w:rPr>
          <w:rFonts w:hint="eastAsia"/>
          <w:lang w:val="en-US" w:eastAsia="zh-CN"/>
        </w:rPr>
        <w:t>。</w:t>
      </w:r>
    </w:p>
    <w:p w14:paraId="3153AFB1">
      <w:pPr>
        <w:rPr>
          <w:rFonts w:hint="eastAsia"/>
          <w:lang w:val="en-US" w:eastAsia="zh-CN"/>
        </w:rPr>
      </w:pPr>
      <w:r>
        <w:rPr>
          <w:rFonts w:hint="eastAsia"/>
          <w:lang w:val="en-US" w:eastAsia="zh-CN"/>
        </w:rPr>
        <w:t>《总体规划》</w:t>
      </w:r>
      <w:r>
        <w:rPr>
          <w:rFonts w:hint="default"/>
          <w:lang w:val="en-US" w:eastAsia="zh-CN"/>
        </w:rPr>
        <w:t>确定</w:t>
      </w:r>
      <w:r>
        <w:rPr>
          <w:rFonts w:hint="eastAsia"/>
          <w:lang w:val="en-US" w:eastAsia="zh-CN"/>
        </w:rPr>
        <w:t>清原县</w:t>
      </w:r>
      <w:r>
        <w:rPr>
          <w:rFonts w:hint="default"/>
          <w:lang w:val="en-US" w:eastAsia="zh-CN"/>
        </w:rPr>
        <w:t>永久基本农田保护面积不低于</w:t>
      </w:r>
      <w:r>
        <w:rPr>
          <w:rFonts w:hint="eastAsia"/>
          <w:lang w:val="en-US" w:eastAsia="zh-CN"/>
        </w:rPr>
        <w:t>84.76</w:t>
      </w:r>
      <w:r>
        <w:rPr>
          <w:rFonts w:hint="default"/>
          <w:lang w:val="en-US" w:eastAsia="zh-CN"/>
        </w:rPr>
        <w:t>万亩</w:t>
      </w:r>
      <w:r>
        <w:rPr>
          <w:rFonts w:hint="eastAsia"/>
          <w:lang w:val="en-US" w:eastAsia="zh-CN"/>
        </w:rPr>
        <w:t>，2022年按照国家“三区三线”总体工作部署，清原县划定永久基本农田84.76万亩。本次充分衔接耕地保护和国土绿化空间专项规划编制工作，将2026年度永久基本农田正向优化成果纳入，维护后永久基本农田保护面积为84.89万亩，不低于《总体规划》明确的保护任务。</w:t>
      </w:r>
    </w:p>
    <w:p w14:paraId="2302FF87">
      <w:pPr>
        <w:pStyle w:val="4"/>
        <w:bidi w:val="0"/>
        <w:rPr>
          <w:rFonts w:hint="eastAsia"/>
          <w:lang w:val="en-US" w:eastAsia="zh-CN"/>
        </w:rPr>
      </w:pPr>
      <w:bookmarkStart w:id="29" w:name="_Toc30849"/>
      <w:r>
        <w:rPr>
          <w:rFonts w:hint="eastAsia"/>
          <w:lang w:val="en-US" w:eastAsia="zh-CN"/>
        </w:rPr>
        <w:t>2.生态保护红线</w:t>
      </w:r>
      <w:bookmarkEnd w:id="29"/>
    </w:p>
    <w:p w14:paraId="4F83B30F">
      <w:pPr>
        <w:rPr>
          <w:rFonts w:hint="eastAsia"/>
          <w:lang w:val="en-US" w:eastAsia="zh-CN"/>
        </w:rPr>
      </w:pPr>
      <w:r>
        <w:rPr>
          <w:rFonts w:hint="eastAsia"/>
          <w:lang w:val="en-US" w:eastAsia="zh-CN"/>
        </w:rPr>
        <w:t>《总体规划》确定清原县生态保护红线面积不低于1063.25平方公里，本次依据实际用地情况对生态保护红线开展微调更正，调整面积小于1公顷，维护前，生态保护红线面积1063.25平方公里，维护后，生态保护红线面积1063.25平方公里，不低于《总体规划》明确的保护任务。</w:t>
      </w:r>
    </w:p>
    <w:p w14:paraId="3967FE89">
      <w:pPr>
        <w:pStyle w:val="4"/>
        <w:bidi w:val="0"/>
        <w:rPr>
          <w:rFonts w:hint="eastAsia"/>
          <w:lang w:val="en-US" w:eastAsia="zh-CN"/>
        </w:rPr>
      </w:pPr>
      <w:bookmarkStart w:id="30" w:name="_Toc21431"/>
      <w:r>
        <w:rPr>
          <w:rFonts w:hint="eastAsia"/>
          <w:lang w:val="en-US" w:eastAsia="zh-CN"/>
        </w:rPr>
        <w:t>3.城镇开发边界</w:t>
      </w:r>
      <w:bookmarkEnd w:id="30"/>
    </w:p>
    <w:p w14:paraId="1E78B6EF">
      <w:pPr>
        <w:rPr>
          <w:rFonts w:hint="eastAsia"/>
          <w:lang w:val="en-US" w:eastAsia="zh-CN"/>
        </w:rPr>
      </w:pPr>
      <w:r>
        <w:rPr>
          <w:rFonts w:hint="eastAsia"/>
          <w:lang w:val="en-US" w:eastAsia="zh-CN"/>
        </w:rPr>
        <w:t>《总体规划》确定清原县城镇开发边界扩展倍数控制在基于2020年现状城镇建设用地规模的1.14倍以内。为合理配置土地资源要素，保障“十五五”期间重大战略项目落地，按照“总量不突破、布局更集聚、功能品质有提高”的原则，强化集中连片、节约集约要求，优化城镇建设用地布局，规范开展调入调出工作。维护前，清原县城镇开发边界面积29.50平方公里。按照“增量调增量、存量调存量”原则，优化调整城镇开发边界小于0.1平方公里，维护后，城镇开发边界总体规模保持在29.50平方公里，未突破新增城镇建设用地规模和现行总体规划确定的城镇开发边界扩展倍数，15亩以下零星城镇开发边界图斑数量未增加，城镇开发边界形态更加规整，城镇空间更加集约、功能衔接更加紧凑，能够更好支撑城乡融合发展，也进一步保障了“十五五”项目落地，符合正向优化标准。</w:t>
      </w:r>
      <w:bookmarkStart w:id="31" w:name="_Toc11415"/>
    </w:p>
    <w:p w14:paraId="7AFFC3C3">
      <w:pPr>
        <w:pStyle w:val="3"/>
        <w:bidi w:val="0"/>
        <w:rPr>
          <w:lang w:val="en-US" w:eastAsia="zh-CN"/>
        </w:rPr>
      </w:pPr>
      <w:bookmarkStart w:id="32" w:name="_Toc4339"/>
      <w:r>
        <w:rPr>
          <w:lang w:val="en-US" w:eastAsia="zh-CN"/>
        </w:rPr>
        <w:t>（二）规划分区</w:t>
      </w:r>
      <w:bookmarkEnd w:id="31"/>
      <w:bookmarkEnd w:id="32"/>
    </w:p>
    <w:p w14:paraId="678933F3">
      <w:pPr>
        <w:rPr>
          <w:rFonts w:hint="default"/>
          <w:lang w:val="en-US" w:eastAsia="zh-CN"/>
        </w:rPr>
      </w:pPr>
      <w:r>
        <w:rPr>
          <w:rFonts w:hint="eastAsia"/>
          <w:lang w:val="en-US" w:eastAsia="zh-CN"/>
        </w:rPr>
        <w:t>本次结合三条控制线动态维护方案，同步开展规划分区动态维护。在落实底线管控要求基础上，可结合动态维护需要，对规划二级分区及其他空间布局进行优化调整，以提升各功能分区的边界清晰度、功能明确性及空间连片度，确保规划分区的合理性和一致性，维护后，中心城区规划分区和县域规划分区总体规模保持不变。</w:t>
      </w:r>
    </w:p>
    <w:p w14:paraId="6C08A9EC">
      <w:pPr>
        <w:pStyle w:val="3"/>
        <w:bidi w:val="0"/>
        <w:rPr>
          <w:rFonts w:hint="default"/>
          <w:lang w:val="en-US" w:eastAsia="zh-CN"/>
        </w:rPr>
      </w:pPr>
      <w:bookmarkStart w:id="33" w:name="_Toc19231"/>
      <w:bookmarkStart w:id="34" w:name="_Toc10402"/>
      <w:r>
        <w:rPr>
          <w:rFonts w:hint="default"/>
          <w:lang w:val="en-US" w:eastAsia="zh-CN"/>
        </w:rPr>
        <w:t>（三）</w:t>
      </w:r>
      <w:r>
        <w:rPr>
          <w:rFonts w:hint="eastAsia"/>
          <w:lang w:val="en-US" w:eastAsia="zh-CN"/>
        </w:rPr>
        <w:t>规划用地</w:t>
      </w:r>
      <w:r>
        <w:rPr>
          <w:rFonts w:hint="default"/>
          <w:lang w:val="en-US" w:eastAsia="zh-CN"/>
        </w:rPr>
        <w:t>布局</w:t>
      </w:r>
      <w:bookmarkEnd w:id="33"/>
      <w:bookmarkEnd w:id="34"/>
    </w:p>
    <w:p w14:paraId="7BC838E1">
      <w:pPr>
        <w:rPr>
          <w:rFonts w:hint="eastAsia"/>
          <w:lang w:val="en-US" w:eastAsia="zh-CN"/>
        </w:rPr>
      </w:pPr>
      <w:r>
        <w:rPr>
          <w:rFonts w:hint="eastAsia"/>
          <w:lang w:val="en-US" w:eastAsia="zh-CN"/>
        </w:rPr>
        <w:t>本次将中心城区及乡镇规划用地布局纳入动态维护，在不改变城市总体格局和空间结构的基础上，重点结合城镇开发边界动态维护情况及规划实施评估中存在的主要问题，对居住、商服、工矿、交通、绿地等用地进行局部优化，重点保障公共服务实施用地、优化工业用地、控制居住用地、增加绿地广场等公共活动空间，旨在增强《总体规划》对“十五五”发展需求的适应性和可实施性。维护后，中心城区及乡镇各类规划用地总体规模及比例保持总体平衡。</w:t>
      </w:r>
    </w:p>
    <w:p w14:paraId="4F8E5B42">
      <w:pPr>
        <w:pStyle w:val="3"/>
        <w:bidi w:val="0"/>
        <w:rPr>
          <w:rFonts w:hint="default"/>
          <w:lang w:val="en-US" w:eastAsia="zh-CN"/>
        </w:rPr>
      </w:pPr>
      <w:bookmarkStart w:id="35" w:name="_Toc31230"/>
      <w:bookmarkStart w:id="36" w:name="_Toc32027"/>
      <w:r>
        <w:rPr>
          <w:rFonts w:hint="default"/>
          <w:lang w:val="en-US" w:eastAsia="zh-CN"/>
        </w:rPr>
        <w:t>（四）其他空间管控边界</w:t>
      </w:r>
      <w:bookmarkEnd w:id="35"/>
      <w:bookmarkEnd w:id="36"/>
    </w:p>
    <w:p w14:paraId="4BC703B9">
      <w:pPr>
        <w:pStyle w:val="4"/>
        <w:bidi w:val="0"/>
        <w:rPr>
          <w:rFonts w:hint="eastAsia"/>
          <w:lang w:val="en-US" w:eastAsia="zh-CN"/>
        </w:rPr>
      </w:pPr>
      <w:bookmarkStart w:id="37" w:name="_Toc31792"/>
      <w:r>
        <w:rPr>
          <w:rFonts w:hint="eastAsia"/>
          <w:lang w:val="en-US" w:eastAsia="zh-CN"/>
        </w:rPr>
        <w:t>1.村庄建设边界</w:t>
      </w:r>
      <w:bookmarkEnd w:id="37"/>
    </w:p>
    <w:p w14:paraId="5AEBB74F">
      <w:pPr>
        <w:rPr>
          <w:rFonts w:hint="eastAsia"/>
          <w:lang w:val="en-US" w:eastAsia="zh-CN"/>
        </w:rPr>
      </w:pPr>
      <w:r>
        <w:rPr>
          <w:rFonts w:hint="eastAsia"/>
          <w:lang w:val="en-US" w:eastAsia="zh-CN"/>
        </w:rPr>
        <w:t>本次动态维护根据各乡镇产业发展需求，优化调整村庄建设边界，并从现状村庄建设边界内选取近期无法实施的项目地块做等量调出，确保村庄建设边界总体规模不超过各乡镇总规确定的控制指标，维护后</w:t>
      </w:r>
      <w:r>
        <w:rPr>
          <w:rFonts w:hint="eastAsia"/>
          <w:sz w:val="36"/>
          <w:szCs w:val="36"/>
          <w:lang w:val="en-US" w:eastAsia="zh-CN"/>
        </w:rPr>
        <w:t>各乡镇</w:t>
      </w:r>
      <w:r>
        <w:rPr>
          <w:rFonts w:hint="eastAsia"/>
          <w:lang w:val="en-US" w:eastAsia="zh-CN"/>
        </w:rPr>
        <w:t>村庄建设边界总体规模保持不变。</w:t>
      </w:r>
    </w:p>
    <w:p w14:paraId="2F967257">
      <w:pPr>
        <w:pStyle w:val="4"/>
        <w:bidi w:val="0"/>
        <w:rPr>
          <w:rFonts w:hint="default"/>
          <w:lang w:val="en-US" w:eastAsia="zh-CN"/>
        </w:rPr>
      </w:pPr>
      <w:bookmarkStart w:id="38" w:name="_Toc32413"/>
      <w:r>
        <w:rPr>
          <w:rFonts w:hint="eastAsia"/>
          <w:lang w:val="en-US" w:eastAsia="zh-CN"/>
        </w:rPr>
        <w:t>2.城市绿线</w:t>
      </w:r>
      <w:bookmarkEnd w:id="38"/>
    </w:p>
    <w:p w14:paraId="48F7A9D0">
      <w:pPr>
        <w:rPr>
          <w:rFonts w:hint="default"/>
          <w:lang w:val="en-US" w:eastAsia="zh-CN"/>
        </w:rPr>
      </w:pPr>
      <w:r>
        <w:rPr>
          <w:rFonts w:hint="default"/>
          <w:lang w:val="en-US" w:eastAsia="zh-CN"/>
        </w:rPr>
        <w:t>本次动态维护</w:t>
      </w:r>
      <w:r>
        <w:rPr>
          <w:rFonts w:hint="eastAsia"/>
          <w:lang w:val="en-US" w:eastAsia="zh-CN"/>
        </w:rPr>
        <w:t>根据详细规划的实施结果对</w:t>
      </w:r>
      <w:r>
        <w:rPr>
          <w:rFonts w:hint="default"/>
          <w:lang w:val="en-US" w:eastAsia="zh-CN"/>
        </w:rPr>
        <w:t>与现状</w:t>
      </w:r>
      <w:r>
        <w:rPr>
          <w:rFonts w:hint="eastAsia"/>
          <w:lang w:val="en-US" w:eastAsia="zh-CN"/>
        </w:rPr>
        <w:t>地块、道路不符，存在</w:t>
      </w:r>
      <w:r>
        <w:rPr>
          <w:rFonts w:hint="default"/>
          <w:lang w:val="en-US" w:eastAsia="zh-CN"/>
        </w:rPr>
        <w:t>边界偏差</w:t>
      </w:r>
      <w:r>
        <w:rPr>
          <w:rFonts w:hint="eastAsia"/>
          <w:lang w:val="en-US" w:eastAsia="zh-CN"/>
        </w:rPr>
        <w:t>的城市绿线进行维护</w:t>
      </w:r>
      <w:r>
        <w:rPr>
          <w:rFonts w:hint="default"/>
          <w:lang w:val="en-US" w:eastAsia="zh-CN"/>
        </w:rPr>
        <w:t>，将城市绿线范围内与现状不符的少量居住、公服、商业、公用设施和交通用地调出，同时调入符合绿线管控要求、具有生态绿化功能的地块。</w:t>
      </w:r>
      <w:r>
        <w:rPr>
          <w:rFonts w:hint="eastAsia"/>
          <w:lang w:val="en-US" w:eastAsia="zh-CN"/>
        </w:rPr>
        <w:t>维护后，城市绿线总规模不减少，符合正向优化标准。</w:t>
      </w:r>
    </w:p>
    <w:p w14:paraId="52EE85FF">
      <w:pPr>
        <w:pStyle w:val="4"/>
        <w:bidi w:val="0"/>
        <w:rPr>
          <w:rFonts w:hint="default"/>
          <w:lang w:val="en-US" w:eastAsia="zh-CN"/>
        </w:rPr>
      </w:pPr>
      <w:bookmarkStart w:id="39" w:name="_Toc31736"/>
      <w:r>
        <w:rPr>
          <w:rFonts w:hint="eastAsia"/>
          <w:lang w:val="en-US" w:eastAsia="zh-CN"/>
        </w:rPr>
        <w:t>3.</w:t>
      </w:r>
      <w:bookmarkEnd w:id="39"/>
      <w:r>
        <w:rPr>
          <w:rFonts w:hint="eastAsia"/>
          <w:lang w:val="en-US" w:eastAsia="zh-CN"/>
        </w:rPr>
        <w:t>其他城市控制线</w:t>
      </w:r>
    </w:p>
    <w:p w14:paraId="4FD130B9">
      <w:pPr>
        <w:rPr>
          <w:rFonts w:hint="default"/>
          <w:lang w:val="en-US" w:eastAsia="zh-CN"/>
        </w:rPr>
      </w:pPr>
      <w:r>
        <w:rPr>
          <w:rFonts w:hint="eastAsia"/>
          <w:lang w:val="en-US" w:eastAsia="zh-CN"/>
        </w:rPr>
        <w:t>本次未对城市绿线、城市蓝线、城市紫线、洪涝风险控制线等其他城市控制线开展动态维护</w:t>
      </w:r>
      <w:r>
        <w:rPr>
          <w:rFonts w:hint="default"/>
          <w:lang w:val="en-US" w:eastAsia="zh-CN"/>
        </w:rPr>
        <w:t>。</w:t>
      </w:r>
    </w:p>
    <w:p w14:paraId="3764478A">
      <w:pPr>
        <w:pStyle w:val="3"/>
        <w:bidi w:val="0"/>
        <w:rPr>
          <w:rFonts w:hint="default"/>
          <w:lang w:val="en-US" w:eastAsia="zh-CN"/>
        </w:rPr>
      </w:pPr>
      <w:bookmarkStart w:id="40" w:name="_Toc11386"/>
      <w:bookmarkStart w:id="41" w:name="_Toc11666"/>
      <w:r>
        <w:rPr>
          <w:rFonts w:hint="default"/>
          <w:lang w:val="en-US" w:eastAsia="zh-CN"/>
        </w:rPr>
        <w:t>（五）重点建设项目清单</w:t>
      </w:r>
      <w:bookmarkEnd w:id="40"/>
      <w:bookmarkEnd w:id="41"/>
    </w:p>
    <w:p w14:paraId="5DAD46DB">
      <w:pPr>
        <w:rPr>
          <w:rFonts w:hint="default"/>
          <w:lang w:val="en-US" w:eastAsia="zh-CN"/>
        </w:rPr>
      </w:pPr>
      <w:r>
        <w:rPr>
          <w:rFonts w:hint="eastAsia"/>
          <w:lang w:val="en-US" w:eastAsia="zh-CN"/>
        </w:rPr>
        <w:t>经</w:t>
      </w:r>
      <w:r>
        <w:rPr>
          <w:rFonts w:hint="default"/>
          <w:lang w:val="en-US" w:eastAsia="zh-CN"/>
        </w:rPr>
        <w:t>对接</w:t>
      </w:r>
      <w:r>
        <w:rPr>
          <w:rFonts w:hint="eastAsia"/>
          <w:lang w:val="en-US" w:eastAsia="zh-CN"/>
        </w:rPr>
        <w:t>县</w:t>
      </w:r>
      <w:r>
        <w:rPr>
          <w:rFonts w:hint="default"/>
          <w:lang w:val="en-US" w:eastAsia="zh-CN"/>
        </w:rPr>
        <w:t>政府各部门、各乡镇、电网、铁路等重点企业，积极收集各方需求</w:t>
      </w:r>
      <w:r>
        <w:rPr>
          <w:rFonts w:hint="eastAsia"/>
          <w:lang w:val="en-US" w:eastAsia="zh-CN"/>
        </w:rPr>
        <w:t>后</w:t>
      </w:r>
      <w:r>
        <w:rPr>
          <w:rFonts w:hint="default"/>
          <w:lang w:val="en-US" w:eastAsia="zh-CN"/>
        </w:rPr>
        <w:t>，将</w:t>
      </w:r>
      <w:r>
        <w:rPr>
          <w:rFonts w:hint="eastAsia"/>
          <w:lang w:val="en-US" w:eastAsia="zh-CN"/>
        </w:rPr>
        <w:t>“</w:t>
      </w:r>
      <w:r>
        <w:rPr>
          <w:rFonts w:hint="default"/>
          <w:lang w:val="en-US" w:eastAsia="zh-CN"/>
        </w:rPr>
        <w:t>十五五</w:t>
      </w:r>
      <w:r>
        <w:rPr>
          <w:rFonts w:hint="eastAsia"/>
          <w:lang w:val="en-US" w:eastAsia="zh-CN"/>
        </w:rPr>
        <w:t>”</w:t>
      </w:r>
      <w:r>
        <w:rPr>
          <w:rFonts w:hint="default"/>
          <w:lang w:val="en-US" w:eastAsia="zh-CN"/>
        </w:rPr>
        <w:t>经济和社会发展规划、各领域专项规划和乡镇建设计划等</w:t>
      </w:r>
      <w:r>
        <w:rPr>
          <w:rFonts w:hint="eastAsia"/>
          <w:lang w:val="en-US" w:eastAsia="zh-CN"/>
        </w:rPr>
        <w:t>纳入重点建设项目清单，</w:t>
      </w:r>
      <w:r>
        <w:rPr>
          <w:rFonts w:hint="default"/>
          <w:lang w:val="en-US" w:eastAsia="zh-CN"/>
        </w:rPr>
        <w:t>因地制宜</w:t>
      </w:r>
      <w:r>
        <w:rPr>
          <w:rFonts w:hint="eastAsia"/>
          <w:lang w:val="en-US" w:eastAsia="zh-CN"/>
        </w:rPr>
        <w:t>对总体规划的重点项目安排表进行</w:t>
      </w:r>
      <w:r>
        <w:rPr>
          <w:rFonts w:hint="default"/>
          <w:lang w:val="en-US" w:eastAsia="zh-CN"/>
        </w:rPr>
        <w:t>增补、调序和清退项目，采用</w:t>
      </w:r>
      <w:r>
        <w:rPr>
          <w:rFonts w:hint="eastAsia"/>
          <w:lang w:val="en-US" w:eastAsia="zh-CN"/>
        </w:rPr>
        <w:t>“</w:t>
      </w:r>
      <w:r>
        <w:rPr>
          <w:rFonts w:hint="default"/>
          <w:lang w:val="en-US" w:eastAsia="zh-CN"/>
        </w:rPr>
        <w:t>精准定位</w:t>
      </w:r>
      <w:r>
        <w:rPr>
          <w:rFonts w:hint="eastAsia"/>
          <w:lang w:val="en-US" w:eastAsia="zh-CN"/>
        </w:rPr>
        <w:t>”“</w:t>
      </w:r>
      <w:r>
        <w:rPr>
          <w:rFonts w:hint="default"/>
          <w:lang w:val="en-US" w:eastAsia="zh-CN"/>
        </w:rPr>
        <w:t>示意落图</w:t>
      </w:r>
      <w:r>
        <w:rPr>
          <w:rFonts w:hint="eastAsia"/>
          <w:lang w:val="en-US" w:eastAsia="zh-CN"/>
        </w:rPr>
        <w:t>”</w:t>
      </w:r>
      <w:r>
        <w:rPr>
          <w:rFonts w:hint="default"/>
          <w:lang w:val="en-US" w:eastAsia="zh-CN"/>
        </w:rPr>
        <w:t>和</w:t>
      </w:r>
      <w:r>
        <w:rPr>
          <w:rFonts w:hint="eastAsia"/>
          <w:lang w:val="en-US" w:eastAsia="zh-CN"/>
        </w:rPr>
        <w:t>“</w:t>
      </w:r>
      <w:r>
        <w:rPr>
          <w:rFonts w:hint="default"/>
          <w:lang w:val="en-US" w:eastAsia="zh-CN"/>
        </w:rPr>
        <w:t>增补项目</w:t>
      </w:r>
      <w:r>
        <w:rPr>
          <w:rFonts w:hint="eastAsia"/>
          <w:lang w:val="en-US" w:eastAsia="zh-CN"/>
        </w:rPr>
        <w:t>”</w:t>
      </w:r>
      <w:r>
        <w:rPr>
          <w:rFonts w:hint="default"/>
          <w:lang w:val="en-US" w:eastAsia="zh-CN"/>
        </w:rPr>
        <w:t>等多种方式相结合予以空间保障，为项目落地做好前期谋划</w:t>
      </w:r>
      <w:r>
        <w:rPr>
          <w:rFonts w:hint="eastAsia"/>
          <w:lang w:val="en-US" w:eastAsia="zh-CN"/>
        </w:rPr>
        <w:t>。共纳入176</w:t>
      </w:r>
      <w:r>
        <w:rPr>
          <w:rFonts w:hint="default"/>
          <w:lang w:val="en-US" w:eastAsia="zh-CN"/>
        </w:rPr>
        <w:t>个重点建设项目，其中能源类62个、交通类70个、水利类34个、其他类型10个</w:t>
      </w:r>
      <w:r>
        <w:rPr>
          <w:rFonts w:hint="eastAsia"/>
          <w:lang w:val="en-US" w:eastAsia="zh-CN"/>
        </w:rPr>
        <w:t>。</w:t>
      </w:r>
    </w:p>
    <w:p w14:paraId="0B60D682">
      <w:pPr>
        <w:pStyle w:val="3"/>
        <w:bidi w:val="0"/>
        <w:rPr>
          <w:rFonts w:hint="default"/>
          <w:lang w:val="en-US" w:eastAsia="zh-CN"/>
        </w:rPr>
      </w:pPr>
      <w:bookmarkStart w:id="42" w:name="_Toc30738"/>
      <w:bookmarkStart w:id="43" w:name="_Toc20797"/>
      <w:r>
        <w:rPr>
          <w:rFonts w:hint="default"/>
          <w:lang w:val="en-US" w:eastAsia="zh-CN"/>
        </w:rPr>
        <w:t>（六）详规单元</w:t>
      </w:r>
      <w:bookmarkEnd w:id="42"/>
      <w:bookmarkEnd w:id="43"/>
    </w:p>
    <w:p w14:paraId="09F15D3A">
      <w:pPr>
        <w:rPr>
          <w:rFonts w:hint="default"/>
          <w:lang w:val="en-US" w:eastAsia="zh-CN"/>
        </w:rPr>
      </w:pPr>
      <w:r>
        <w:rPr>
          <w:rFonts w:hint="eastAsia"/>
          <w:lang w:val="en-US" w:eastAsia="zh-CN"/>
        </w:rPr>
        <w:t>本次结合三条控制线和规划分区动态维护方案，同步开展详规单元动态维护。</w:t>
      </w:r>
    </w:p>
    <w:p w14:paraId="6631D493">
      <w:pPr>
        <w:pStyle w:val="2"/>
        <w:bidi w:val="0"/>
        <w:rPr>
          <w:rFonts w:hint="default"/>
          <w:lang w:val="en-US" w:eastAsia="zh-CN"/>
        </w:rPr>
      </w:pPr>
      <w:bookmarkStart w:id="44" w:name="_Toc15790"/>
      <w:bookmarkStart w:id="45" w:name="_Toc19196"/>
      <w:bookmarkStart w:id="46" w:name="_Toc13130"/>
      <w:r>
        <w:rPr>
          <w:rFonts w:hint="eastAsia"/>
          <w:lang w:val="en-US" w:eastAsia="zh-CN"/>
        </w:rPr>
        <w:t>四</w:t>
      </w:r>
      <w:r>
        <w:rPr>
          <w:rFonts w:hint="default"/>
          <w:lang w:val="en-US" w:eastAsia="zh-CN"/>
        </w:rPr>
        <w:t>、</w:t>
      </w:r>
      <w:r>
        <w:rPr>
          <w:rFonts w:hint="eastAsia"/>
          <w:lang w:val="en-US" w:eastAsia="zh-CN"/>
        </w:rPr>
        <w:t>方案</w:t>
      </w:r>
      <w:r>
        <w:rPr>
          <w:rFonts w:hint="default"/>
          <w:lang w:val="en-US" w:eastAsia="zh-CN"/>
        </w:rPr>
        <w:t>可行性分析</w:t>
      </w:r>
      <w:bookmarkEnd w:id="44"/>
      <w:bookmarkEnd w:id="45"/>
    </w:p>
    <w:p w14:paraId="550554E0">
      <w:pPr>
        <w:pStyle w:val="3"/>
        <w:bidi w:val="0"/>
        <w:rPr>
          <w:rFonts w:hint="default"/>
          <w:lang w:val="en-US" w:eastAsia="zh-CN"/>
        </w:rPr>
      </w:pPr>
      <w:bookmarkStart w:id="47" w:name="_Toc3543"/>
      <w:bookmarkStart w:id="48" w:name="_Toc25520"/>
      <w:r>
        <w:rPr>
          <w:rFonts w:hint="eastAsia"/>
          <w:lang w:val="en-US" w:eastAsia="zh-CN"/>
        </w:rPr>
        <w:t>（一）</w:t>
      </w:r>
      <w:r>
        <w:rPr>
          <w:rFonts w:hint="default"/>
          <w:lang w:val="en-US" w:eastAsia="zh-CN"/>
        </w:rPr>
        <w:t>工作推进有基础</w:t>
      </w:r>
      <w:bookmarkEnd w:id="47"/>
      <w:bookmarkEnd w:id="48"/>
    </w:p>
    <w:p w14:paraId="0E16A43B">
      <w:pPr>
        <w:rPr>
          <w:rFonts w:hint="default"/>
          <w:lang w:val="en-US" w:eastAsia="zh-CN"/>
        </w:rPr>
      </w:pPr>
      <w:r>
        <w:rPr>
          <w:rFonts w:hint="default"/>
          <w:lang w:val="en-US" w:eastAsia="zh-CN"/>
        </w:rPr>
        <w:t>一是本次优化调整是基于国土空间规划城市体检和五年评估的基础之上开展，结合近年来地方开展的</w:t>
      </w:r>
      <w:r>
        <w:rPr>
          <w:rFonts w:hint="eastAsia"/>
          <w:lang w:val="en-US" w:eastAsia="zh-CN"/>
        </w:rPr>
        <w:t>“</w:t>
      </w:r>
      <w:r>
        <w:rPr>
          <w:rFonts w:hint="default"/>
          <w:lang w:val="en-US" w:eastAsia="zh-CN"/>
        </w:rPr>
        <w:t>非农化</w:t>
      </w:r>
      <w:r>
        <w:rPr>
          <w:rFonts w:hint="eastAsia"/>
          <w:lang w:val="en-US" w:eastAsia="zh-CN"/>
        </w:rPr>
        <w:t>”“</w:t>
      </w:r>
      <w:r>
        <w:rPr>
          <w:rFonts w:hint="default"/>
          <w:lang w:val="en-US" w:eastAsia="zh-CN"/>
        </w:rPr>
        <w:t>非粮化</w:t>
      </w:r>
      <w:r>
        <w:rPr>
          <w:rFonts w:hint="eastAsia"/>
          <w:lang w:val="en-US" w:eastAsia="zh-CN"/>
        </w:rPr>
        <w:t>”</w:t>
      </w:r>
      <w:r>
        <w:rPr>
          <w:rFonts w:hint="default"/>
          <w:lang w:val="en-US" w:eastAsia="zh-CN"/>
        </w:rPr>
        <w:t>治理、土地综合整治与生态修复、高标准农田建设等一系列工作基础，开展正向优化，具备较好的现实基础。二是与三条控制线相关的工作，正在逐步有序推动，如土地综合整治与生态修复、高标准农田建设等耕地保护领域的</w:t>
      </w:r>
      <w:r>
        <w:rPr>
          <w:rFonts w:hint="eastAsia"/>
          <w:lang w:val="en-US" w:eastAsia="zh-CN"/>
        </w:rPr>
        <w:t>一</w:t>
      </w:r>
      <w:r>
        <w:rPr>
          <w:rFonts w:hint="default"/>
          <w:lang w:val="en-US" w:eastAsia="zh-CN"/>
        </w:rPr>
        <w:t>系列的工作</w:t>
      </w:r>
      <w:r>
        <w:rPr>
          <w:rFonts w:hint="eastAsia"/>
          <w:lang w:val="en-US" w:eastAsia="zh-CN"/>
        </w:rPr>
        <w:t>；</w:t>
      </w:r>
      <w:r>
        <w:rPr>
          <w:rFonts w:hint="default"/>
          <w:lang w:val="en-US" w:eastAsia="zh-CN"/>
        </w:rPr>
        <w:t>自然保护地等优化调整工作，已形成了一系列行之有效的工作机制。</w:t>
      </w:r>
    </w:p>
    <w:p w14:paraId="05EDDC53">
      <w:pPr>
        <w:pStyle w:val="3"/>
        <w:bidi w:val="0"/>
        <w:rPr>
          <w:rFonts w:hint="default"/>
          <w:lang w:val="en-US" w:eastAsia="zh-CN"/>
        </w:rPr>
      </w:pPr>
      <w:bookmarkStart w:id="49" w:name="_Toc4245"/>
      <w:bookmarkStart w:id="50" w:name="_Toc11053"/>
      <w:r>
        <w:rPr>
          <w:rFonts w:hint="eastAsia"/>
          <w:lang w:val="en-US" w:eastAsia="zh-CN"/>
        </w:rPr>
        <w:t>（二）</w:t>
      </w:r>
      <w:r>
        <w:rPr>
          <w:rFonts w:hint="default"/>
          <w:lang w:val="en-US" w:eastAsia="zh-CN"/>
        </w:rPr>
        <w:t>政策机制有保障</w:t>
      </w:r>
      <w:bookmarkEnd w:id="49"/>
      <w:bookmarkEnd w:id="50"/>
    </w:p>
    <w:p w14:paraId="7B63DD80">
      <w:pPr>
        <w:rPr>
          <w:rFonts w:hint="default"/>
          <w:lang w:val="en-US" w:eastAsia="zh-CN"/>
        </w:rPr>
      </w:pPr>
      <w:r>
        <w:rPr>
          <w:rFonts w:hint="default"/>
          <w:lang w:val="en-US" w:eastAsia="zh-CN"/>
        </w:rPr>
        <w:t>政策机制不断完善，自然资源部 国家林业和草原局</w:t>
      </w:r>
      <w:r>
        <w:rPr>
          <w:rFonts w:hint="eastAsia"/>
          <w:lang w:val="en-US" w:eastAsia="zh-CN"/>
        </w:rPr>
        <w:t>印发</w:t>
      </w:r>
      <w:r>
        <w:rPr>
          <w:rFonts w:hint="default"/>
          <w:lang w:val="en-US" w:eastAsia="zh-CN"/>
        </w:rPr>
        <w:t>《关于进一步做好自然资源要素保障的通知》，</w:t>
      </w:r>
      <w:r>
        <w:rPr>
          <w:rFonts w:hint="eastAsia"/>
          <w:lang w:val="en-US" w:eastAsia="zh-CN"/>
        </w:rPr>
        <w:t>建立了国土空间动态维护工作机制，为本次工作提供了政策依据。</w:t>
      </w:r>
      <w:r>
        <w:rPr>
          <w:rFonts w:hint="default"/>
          <w:lang w:val="en-US" w:eastAsia="zh-CN"/>
        </w:rPr>
        <w:t>同时，随着我省</w:t>
      </w:r>
      <w:r>
        <w:rPr>
          <w:rFonts w:hint="eastAsia"/>
          <w:lang w:val="en-US" w:eastAsia="zh-CN"/>
        </w:rPr>
        <w:t>全域土地综合整治推进</w:t>
      </w:r>
      <w:r>
        <w:rPr>
          <w:rFonts w:hint="default"/>
          <w:lang w:val="en-US" w:eastAsia="zh-CN"/>
        </w:rPr>
        <w:t>、</w:t>
      </w:r>
      <w:r>
        <w:rPr>
          <w:rFonts w:hint="eastAsia"/>
          <w:lang w:val="en-US" w:eastAsia="zh-CN"/>
        </w:rPr>
        <w:t>城镇开发</w:t>
      </w:r>
      <w:r>
        <w:rPr>
          <w:rFonts w:hint="default"/>
          <w:lang w:val="en-US" w:eastAsia="zh-CN"/>
        </w:rPr>
        <w:t>边界局部优化等一系列的工作开展，逐步形成了一系列的</w:t>
      </w:r>
      <w:r>
        <w:rPr>
          <w:rFonts w:hint="eastAsia"/>
          <w:lang w:val="en-US" w:eastAsia="zh-CN"/>
        </w:rPr>
        <w:t>协调</w:t>
      </w:r>
      <w:r>
        <w:rPr>
          <w:rFonts w:hint="default"/>
          <w:lang w:val="en-US" w:eastAsia="zh-CN"/>
        </w:rPr>
        <w:t>保障机制，为本次优化调整积累了经验基础。</w:t>
      </w:r>
    </w:p>
    <w:p w14:paraId="04943085">
      <w:pPr>
        <w:pStyle w:val="3"/>
        <w:bidi w:val="0"/>
        <w:rPr>
          <w:rFonts w:hint="default"/>
          <w:lang w:val="en-US" w:eastAsia="zh-CN"/>
        </w:rPr>
      </w:pPr>
      <w:bookmarkStart w:id="51" w:name="_Toc8566"/>
      <w:bookmarkStart w:id="52" w:name="_Toc30106"/>
      <w:r>
        <w:rPr>
          <w:rFonts w:hint="eastAsia"/>
          <w:lang w:val="en-US" w:eastAsia="zh-CN"/>
        </w:rPr>
        <w:t>（三）</w:t>
      </w:r>
      <w:r>
        <w:rPr>
          <w:rFonts w:hint="default"/>
          <w:lang w:val="en-US" w:eastAsia="zh-CN"/>
        </w:rPr>
        <w:t>群众意愿有反馈</w:t>
      </w:r>
      <w:bookmarkEnd w:id="51"/>
      <w:bookmarkEnd w:id="52"/>
    </w:p>
    <w:p w14:paraId="3F11A24C">
      <w:pPr>
        <w:rPr>
          <w:rFonts w:hint="default"/>
          <w:lang w:val="en-US" w:eastAsia="zh-CN"/>
        </w:rPr>
      </w:pPr>
      <w:r>
        <w:rPr>
          <w:rFonts w:hint="default"/>
          <w:lang w:val="en-US" w:eastAsia="zh-CN"/>
        </w:rPr>
        <w:t>三条控制线优化调整过程中，充分尊重群众意愿，将规划实施过程中存在的问题及不合理的位置进行局部优化调整，提升空间布局合理性，更加合理的配置农业设施与公共服务设施，提升群众幸福感，在社会效益上是可行的。</w:t>
      </w:r>
    </w:p>
    <w:p w14:paraId="13CF523B">
      <w:pPr>
        <w:pStyle w:val="3"/>
        <w:bidi w:val="0"/>
        <w:rPr>
          <w:rFonts w:hint="default"/>
          <w:lang w:val="en-US" w:eastAsia="zh-CN"/>
        </w:rPr>
      </w:pPr>
      <w:bookmarkStart w:id="53" w:name="_Toc29337"/>
      <w:r>
        <w:rPr>
          <w:rFonts w:hint="eastAsia"/>
          <w:lang w:val="en-US" w:eastAsia="zh-CN"/>
        </w:rPr>
        <w:t>（四）</w:t>
      </w:r>
      <w:r>
        <w:rPr>
          <w:rFonts w:hint="default"/>
          <w:lang w:val="en-US" w:eastAsia="zh-CN"/>
        </w:rPr>
        <w:t>维护内容符合正向优化标准</w:t>
      </w:r>
      <w:bookmarkEnd w:id="53"/>
    </w:p>
    <w:p w14:paraId="573E34DD">
      <w:pPr>
        <w:rPr>
          <w:rFonts w:hint="eastAsia" w:eastAsia="仿宋"/>
          <w:lang w:eastAsia="zh-CN"/>
        </w:rPr>
      </w:pPr>
      <w:r>
        <w:rPr>
          <w:rFonts w:hint="eastAsia"/>
          <w:lang w:val="en-US" w:eastAsia="zh-CN"/>
        </w:rPr>
        <w:t>动态维护对三条控制线、中心城区布局、规划分区及重点项目清单进行了调整，符合正向优化标准。耕地保有量、永久基本农田保护面积、生态保护红线面积、城镇开发边界扩展倍数等约束性指标未突破，全县空间格局稳定，国土安全底线有保障。落实国家及省级重大基础设施项目用地，支撑高质量发展，重点保障水利、交通、能源等领域建设，完善防洪供水、综合交通网络及能源安全体系。</w:t>
      </w:r>
    </w:p>
    <w:p w14:paraId="72FD08BA">
      <w:pPr>
        <w:pStyle w:val="2"/>
        <w:bidi w:val="0"/>
        <w:rPr>
          <w:rFonts w:hint="default"/>
          <w:lang w:val="en-US" w:eastAsia="zh-CN"/>
        </w:rPr>
      </w:pPr>
      <w:bookmarkStart w:id="54" w:name="_Toc27127"/>
      <w:r>
        <w:rPr>
          <w:rFonts w:hint="default"/>
          <w:lang w:val="en-US" w:eastAsia="zh-CN"/>
        </w:rPr>
        <w:t>五、实施保障</w:t>
      </w:r>
      <w:bookmarkEnd w:id="46"/>
      <w:bookmarkEnd w:id="54"/>
    </w:p>
    <w:p w14:paraId="07D06A11">
      <w:pPr>
        <w:pStyle w:val="3"/>
        <w:bidi w:val="0"/>
        <w:rPr>
          <w:rFonts w:hint="default"/>
          <w:lang w:val="en-US" w:eastAsia="zh-CN"/>
        </w:rPr>
      </w:pPr>
      <w:bookmarkStart w:id="55" w:name="_Toc9789"/>
      <w:bookmarkStart w:id="56" w:name="_Toc28475"/>
      <w:r>
        <w:rPr>
          <w:rFonts w:hint="default"/>
          <w:lang w:val="en-US" w:eastAsia="zh-CN"/>
        </w:rPr>
        <w:t>（一）强化向下指引，确保方案传导落实</w:t>
      </w:r>
      <w:bookmarkEnd w:id="55"/>
      <w:bookmarkEnd w:id="56"/>
    </w:p>
    <w:p w14:paraId="5AC3A67F">
      <w:pPr>
        <w:rPr>
          <w:rFonts w:hint="default"/>
          <w:lang w:val="en-US" w:eastAsia="zh-CN"/>
        </w:rPr>
      </w:pPr>
      <w:r>
        <w:rPr>
          <w:rFonts w:hint="default"/>
          <w:lang w:val="en-US" w:eastAsia="zh-CN"/>
        </w:rPr>
        <w:t>为确保动态维护方案有效实施，需明确对乡镇级总体规划、专项规划及重大建设项目的向下指引要求。各乡镇在编制或修编总体规划时，须以本次动态维护确定的三条控制线和规划分区为基础，将耕地和永久基本农田保护红线、生态保护红线、城镇开发边界的优化成果纳入本级国土空间规划，确保上位约束精准落地。相关专项规划，如交通、水利、能源、林业等，在项目选址和布局中应主动与动态维护方案进行合规性衔接，避免与永久基本农田和生态保护空间发生冲突。对于重大建设项目，要依据调整后的分区管制规则，强化用地预审与规划选址的符合性审查，确保项目在城镇发展区、矿产能源发展区等允许建设区域内合理布局。通过层层传导和刚性约束，形成</w:t>
      </w:r>
      <w:r>
        <w:rPr>
          <w:rFonts w:hint="eastAsia"/>
          <w:lang w:val="en-US" w:eastAsia="zh-CN"/>
        </w:rPr>
        <w:t>“</w:t>
      </w:r>
      <w:r>
        <w:rPr>
          <w:rFonts w:hint="default"/>
          <w:lang w:val="en-US" w:eastAsia="zh-CN"/>
        </w:rPr>
        <w:t>总规引领、专项协同、项目落实</w:t>
      </w:r>
      <w:r>
        <w:rPr>
          <w:rFonts w:hint="eastAsia"/>
          <w:lang w:val="en-US" w:eastAsia="zh-CN"/>
        </w:rPr>
        <w:t>”</w:t>
      </w:r>
      <w:r>
        <w:rPr>
          <w:rFonts w:hint="default"/>
          <w:lang w:val="en-US" w:eastAsia="zh-CN"/>
        </w:rPr>
        <w:t>的实施路径，保障动态维护成果在基层实践中落地生根。</w:t>
      </w:r>
    </w:p>
    <w:p w14:paraId="000B2991">
      <w:pPr>
        <w:pStyle w:val="3"/>
        <w:bidi w:val="0"/>
        <w:rPr>
          <w:rFonts w:hint="default"/>
          <w:lang w:val="en-US" w:eastAsia="zh-CN"/>
        </w:rPr>
      </w:pPr>
      <w:bookmarkStart w:id="57" w:name="_Toc7378"/>
      <w:bookmarkStart w:id="58" w:name="_Toc14850"/>
      <w:r>
        <w:rPr>
          <w:rFonts w:hint="eastAsia"/>
          <w:lang w:val="en-US" w:eastAsia="zh-CN"/>
        </w:rPr>
        <w:t>（二）</w:t>
      </w:r>
      <w:r>
        <w:rPr>
          <w:rFonts w:hint="default"/>
          <w:lang w:val="en-US" w:eastAsia="zh-CN"/>
        </w:rPr>
        <w:t>加强实施监管，完善动态监测机制</w:t>
      </w:r>
      <w:bookmarkEnd w:id="57"/>
      <w:bookmarkEnd w:id="58"/>
    </w:p>
    <w:p w14:paraId="37ACB2A3">
      <w:pPr>
        <w:rPr>
          <w:rFonts w:hint="default"/>
          <w:lang w:val="en-US" w:eastAsia="zh-CN"/>
        </w:rPr>
      </w:pPr>
      <w:r>
        <w:rPr>
          <w:rFonts w:hint="default"/>
          <w:lang w:val="en-US" w:eastAsia="zh-CN"/>
        </w:rPr>
        <w:t>将动态维护方案内容的执行情况全面纳入国土空间规划实施监管体系，依托国土空间监测网络和年度国土变更调查，对三条控制线等实际变化进行常态化监测。重点跟踪永久基本农田调出调入是否足额补划、生态保护红线是否出现新增人为扰动、城镇开发边界有无违规突破等情况。结合自然资源执法督察和卫片执法检查，建立预警与核查机制，对发现的问题及时通报并督促整改。同时，将监管结果纳入地方政府耕地保护和粮食安全责任制考核、国土空间规划实施评估，强化责任约束。通过综合监管手段，确保动态维护方案的严肃性和权威性，防止随意调整和违规占用行为发生，维护国土空间规划的法律效力。</w:t>
      </w:r>
    </w:p>
    <w:p w14:paraId="4D6F1569">
      <w:pPr>
        <w:pStyle w:val="3"/>
        <w:bidi w:val="0"/>
        <w:rPr>
          <w:rFonts w:hint="default"/>
          <w:lang w:val="en-US" w:eastAsia="zh-CN"/>
        </w:rPr>
      </w:pPr>
      <w:bookmarkStart w:id="59" w:name="_Toc12731"/>
      <w:bookmarkStart w:id="60" w:name="_Toc13288"/>
      <w:r>
        <w:rPr>
          <w:rFonts w:hint="default"/>
          <w:lang w:val="en-US" w:eastAsia="zh-CN"/>
        </w:rPr>
        <w:t>（三）依托数字赋能，实现全生命周期管理</w:t>
      </w:r>
      <w:bookmarkEnd w:id="59"/>
      <w:bookmarkEnd w:id="60"/>
    </w:p>
    <w:p w14:paraId="5486ACB7">
      <w:pPr>
        <w:rPr>
          <w:rFonts w:hint="default"/>
          <w:lang w:val="en-US" w:eastAsia="zh-CN"/>
        </w:rPr>
      </w:pPr>
      <w:r>
        <w:rPr>
          <w:rFonts w:hint="default"/>
          <w:lang w:val="en-US" w:eastAsia="zh-CN"/>
        </w:rPr>
        <w:t>充分运用国土空间规划</w:t>
      </w:r>
      <w:r>
        <w:rPr>
          <w:rFonts w:hint="eastAsia"/>
          <w:lang w:val="en-US" w:eastAsia="zh-CN"/>
        </w:rPr>
        <w:t>“</w:t>
      </w:r>
      <w:r>
        <w:rPr>
          <w:rFonts w:hint="default"/>
          <w:lang w:val="en-US" w:eastAsia="zh-CN"/>
        </w:rPr>
        <w:t>一张图</w:t>
      </w:r>
      <w:r>
        <w:rPr>
          <w:rFonts w:hint="eastAsia"/>
          <w:lang w:val="en-US" w:eastAsia="zh-CN"/>
        </w:rPr>
        <w:t>”</w:t>
      </w:r>
      <w:r>
        <w:rPr>
          <w:rFonts w:hint="default"/>
          <w:lang w:val="en-US" w:eastAsia="zh-CN"/>
        </w:rPr>
        <w:t>实施监督信息系统，对动态维护方案的编制、汇交、审查、实施等环节进行全生命周期数字化管理。在编制阶段，通过系统在线分析三条控制线优化方案的合规性和冲突情况，提升决策科学性；在汇交阶段，统一数据格式和入库标准，确保成果数据与</w:t>
      </w:r>
      <w:r>
        <w:rPr>
          <w:rFonts w:hint="eastAsia"/>
          <w:lang w:val="en-US" w:eastAsia="zh-CN"/>
        </w:rPr>
        <w:t>“</w:t>
      </w:r>
      <w:r>
        <w:rPr>
          <w:rFonts w:hint="default"/>
          <w:lang w:val="en-US" w:eastAsia="zh-CN"/>
        </w:rPr>
        <w:t>一张图</w:t>
      </w:r>
      <w:r>
        <w:rPr>
          <w:rFonts w:hint="eastAsia"/>
          <w:lang w:val="en-US" w:eastAsia="zh-CN"/>
        </w:rPr>
        <w:t>”</w:t>
      </w:r>
      <w:r>
        <w:rPr>
          <w:rFonts w:hint="default"/>
          <w:lang w:val="en-US" w:eastAsia="zh-CN"/>
        </w:rPr>
        <w:t>系统无缝衔接；在审查阶段，实现多部门并联会审和在线留痕，提高审批效率；在实施阶段，结合项目实施审批和监测数据，动态跟踪方案执行效果，为后续评估调整提供支撑。通过数据共享和流程再造，以信息化手段提升国土空间治理能力现代化水平，为规划全生命周期管理奠定坚实基础</w:t>
      </w:r>
      <w:r>
        <w:rPr>
          <w:rFonts w:hint="eastAsia"/>
          <w:lang w:val="en-US" w:eastAsia="zh-CN"/>
        </w:rPr>
        <w:t>。</w:t>
      </w:r>
    </w:p>
    <w:sectPr>
      <w:headerReference r:id="rId6" w:type="default"/>
      <w:footerReference r:id="rId7" w:type="default"/>
      <w:pgSz w:w="11906" w:h="16838"/>
      <w:pgMar w:top="1440" w:right="1800" w:bottom="1440" w:left="1800"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006EC">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61478D">
                          <w:pPr>
                            <w:pStyle w:val="6"/>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5</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861478D">
                    <w:pPr>
                      <w:pStyle w:val="6"/>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5</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E4E022">
    <w:pPr>
      <w:pStyle w:val="7"/>
      <w:tabs>
        <w:tab w:val="clear" w:pos="4153"/>
      </w:tabs>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A868D2">
    <w:pPr>
      <w:pStyle w:val="7"/>
      <w:tabs>
        <w:tab w:val="clear" w:pos="4153"/>
      </w:tabs>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B70C9D"/>
    <w:rsid w:val="00D904BB"/>
    <w:rsid w:val="00E96773"/>
    <w:rsid w:val="01391E55"/>
    <w:rsid w:val="01CC5EE4"/>
    <w:rsid w:val="025B2BD1"/>
    <w:rsid w:val="055408A9"/>
    <w:rsid w:val="06391440"/>
    <w:rsid w:val="070464AA"/>
    <w:rsid w:val="07377BF0"/>
    <w:rsid w:val="077C0C82"/>
    <w:rsid w:val="07860FE4"/>
    <w:rsid w:val="07E00713"/>
    <w:rsid w:val="08E2186D"/>
    <w:rsid w:val="091D74B8"/>
    <w:rsid w:val="09545B07"/>
    <w:rsid w:val="0A2979F9"/>
    <w:rsid w:val="0A55032E"/>
    <w:rsid w:val="0B1E1829"/>
    <w:rsid w:val="0C045628"/>
    <w:rsid w:val="0C7F6C7F"/>
    <w:rsid w:val="0ED6002E"/>
    <w:rsid w:val="0EFE3455"/>
    <w:rsid w:val="0FEA3AFD"/>
    <w:rsid w:val="105477D0"/>
    <w:rsid w:val="106C366C"/>
    <w:rsid w:val="10CF64FF"/>
    <w:rsid w:val="10DA0D16"/>
    <w:rsid w:val="11934328"/>
    <w:rsid w:val="12953A0A"/>
    <w:rsid w:val="12DF0608"/>
    <w:rsid w:val="13751EF8"/>
    <w:rsid w:val="138A6A52"/>
    <w:rsid w:val="14417B90"/>
    <w:rsid w:val="1468384A"/>
    <w:rsid w:val="14BC307E"/>
    <w:rsid w:val="150F44CD"/>
    <w:rsid w:val="165E3E5C"/>
    <w:rsid w:val="16861E4A"/>
    <w:rsid w:val="16917AAF"/>
    <w:rsid w:val="1B266622"/>
    <w:rsid w:val="1C314CE2"/>
    <w:rsid w:val="1C5C139B"/>
    <w:rsid w:val="1C6400EC"/>
    <w:rsid w:val="1DB93368"/>
    <w:rsid w:val="1DE1641B"/>
    <w:rsid w:val="2006109E"/>
    <w:rsid w:val="214E3302"/>
    <w:rsid w:val="228F28EA"/>
    <w:rsid w:val="22BA6F52"/>
    <w:rsid w:val="22E76282"/>
    <w:rsid w:val="234B2368"/>
    <w:rsid w:val="23897791"/>
    <w:rsid w:val="23B22483"/>
    <w:rsid w:val="24444F16"/>
    <w:rsid w:val="25AE26A8"/>
    <w:rsid w:val="260F2C4E"/>
    <w:rsid w:val="28412939"/>
    <w:rsid w:val="290B611E"/>
    <w:rsid w:val="29663529"/>
    <w:rsid w:val="29F723B6"/>
    <w:rsid w:val="2A362A77"/>
    <w:rsid w:val="2A5A7A42"/>
    <w:rsid w:val="2A830F86"/>
    <w:rsid w:val="2C26241C"/>
    <w:rsid w:val="2C8C480E"/>
    <w:rsid w:val="2D774259"/>
    <w:rsid w:val="2F9B467C"/>
    <w:rsid w:val="2F9C5B24"/>
    <w:rsid w:val="30FF5B59"/>
    <w:rsid w:val="31F15647"/>
    <w:rsid w:val="32A57809"/>
    <w:rsid w:val="34054FDD"/>
    <w:rsid w:val="34FD558A"/>
    <w:rsid w:val="35FD1E17"/>
    <w:rsid w:val="36E326B9"/>
    <w:rsid w:val="38E617EB"/>
    <w:rsid w:val="39001DF2"/>
    <w:rsid w:val="392D3735"/>
    <w:rsid w:val="39861EF9"/>
    <w:rsid w:val="3A0305EC"/>
    <w:rsid w:val="3B7A783B"/>
    <w:rsid w:val="3C4B742A"/>
    <w:rsid w:val="3D510F8C"/>
    <w:rsid w:val="3D810D43"/>
    <w:rsid w:val="3DDA3F00"/>
    <w:rsid w:val="403C2710"/>
    <w:rsid w:val="42274495"/>
    <w:rsid w:val="427C658F"/>
    <w:rsid w:val="435A629B"/>
    <w:rsid w:val="44CC34F0"/>
    <w:rsid w:val="44E977E0"/>
    <w:rsid w:val="451F26A8"/>
    <w:rsid w:val="488422A1"/>
    <w:rsid w:val="48CF5E2F"/>
    <w:rsid w:val="4925753D"/>
    <w:rsid w:val="492B0E9F"/>
    <w:rsid w:val="49ED7D72"/>
    <w:rsid w:val="4A1F66CB"/>
    <w:rsid w:val="4A2D016F"/>
    <w:rsid w:val="4B023C9F"/>
    <w:rsid w:val="4C2B14ED"/>
    <w:rsid w:val="4C5E497C"/>
    <w:rsid w:val="4C6267F5"/>
    <w:rsid w:val="4DB1518E"/>
    <w:rsid w:val="4E661F86"/>
    <w:rsid w:val="4ED26EA1"/>
    <w:rsid w:val="4EED1BAD"/>
    <w:rsid w:val="4F0C44EC"/>
    <w:rsid w:val="50493828"/>
    <w:rsid w:val="519136D9"/>
    <w:rsid w:val="524F15CA"/>
    <w:rsid w:val="526E7576"/>
    <w:rsid w:val="53E709D1"/>
    <w:rsid w:val="54296C5D"/>
    <w:rsid w:val="547F02B0"/>
    <w:rsid w:val="54C73B0D"/>
    <w:rsid w:val="556E1767"/>
    <w:rsid w:val="57723665"/>
    <w:rsid w:val="57D144D8"/>
    <w:rsid w:val="585B5C1B"/>
    <w:rsid w:val="597E3CAB"/>
    <w:rsid w:val="59FD47F4"/>
    <w:rsid w:val="5B6A7475"/>
    <w:rsid w:val="5B7612E6"/>
    <w:rsid w:val="5C154AF7"/>
    <w:rsid w:val="5C872843"/>
    <w:rsid w:val="5CE17BA2"/>
    <w:rsid w:val="5DFA28E8"/>
    <w:rsid w:val="5E652175"/>
    <w:rsid w:val="5EEA1A0D"/>
    <w:rsid w:val="5FD71ADD"/>
    <w:rsid w:val="600C5565"/>
    <w:rsid w:val="60782862"/>
    <w:rsid w:val="619037B6"/>
    <w:rsid w:val="623B7475"/>
    <w:rsid w:val="63F5426F"/>
    <w:rsid w:val="64F953C5"/>
    <w:rsid w:val="65947DC3"/>
    <w:rsid w:val="65C9358C"/>
    <w:rsid w:val="66081136"/>
    <w:rsid w:val="66AB41DC"/>
    <w:rsid w:val="671250CD"/>
    <w:rsid w:val="67837F18"/>
    <w:rsid w:val="67C12792"/>
    <w:rsid w:val="681C5653"/>
    <w:rsid w:val="689843B1"/>
    <w:rsid w:val="6984342D"/>
    <w:rsid w:val="699223AB"/>
    <w:rsid w:val="69A52001"/>
    <w:rsid w:val="69D037DC"/>
    <w:rsid w:val="6A361F47"/>
    <w:rsid w:val="6B977963"/>
    <w:rsid w:val="6B9E5CFE"/>
    <w:rsid w:val="6BC975F7"/>
    <w:rsid w:val="6E9B661E"/>
    <w:rsid w:val="6FB30727"/>
    <w:rsid w:val="6FBD5B56"/>
    <w:rsid w:val="71ED1E3D"/>
    <w:rsid w:val="72243680"/>
    <w:rsid w:val="729D55E2"/>
    <w:rsid w:val="776B5CAF"/>
    <w:rsid w:val="78885B87"/>
    <w:rsid w:val="794E15B0"/>
    <w:rsid w:val="7A41719B"/>
    <w:rsid w:val="7B3F3019"/>
    <w:rsid w:val="7B607B00"/>
    <w:rsid w:val="7BF3189D"/>
    <w:rsid w:val="7C1B6E3B"/>
    <w:rsid w:val="7EFB200E"/>
    <w:rsid w:val="7F3C611E"/>
    <w:rsid w:val="7FEC01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1040" w:firstLineChars="200"/>
      <w:jc w:val="both"/>
    </w:pPr>
    <w:rPr>
      <w:rFonts w:ascii="Times New Roman" w:hAnsi="Times New Roman" w:eastAsia="仿宋" w:cstheme="minorBidi"/>
      <w:kern w:val="2"/>
      <w:sz w:val="32"/>
      <w:szCs w:val="24"/>
      <w:lang w:val="en-US" w:eastAsia="zh-CN" w:bidi="ar-SA"/>
    </w:rPr>
  </w:style>
  <w:style w:type="paragraph" w:styleId="2">
    <w:name w:val="heading 1"/>
    <w:basedOn w:val="1"/>
    <w:next w:val="1"/>
    <w:qFormat/>
    <w:uiPriority w:val="0"/>
    <w:pPr>
      <w:keepNext/>
      <w:keepLines/>
      <w:spacing w:beforeLines="0" w:beforeAutospacing="0" w:afterLines="0" w:afterAutospacing="0" w:line="240" w:lineRule="auto"/>
      <w:ind w:firstLine="1040" w:firstLineChars="200"/>
      <w:jc w:val="both"/>
      <w:outlineLvl w:val="0"/>
    </w:pPr>
    <w:rPr>
      <w:rFonts w:ascii="Times New Roman" w:hAnsi="Times New Roman" w:eastAsia="黑体"/>
      <w:kern w:val="44"/>
      <w:sz w:val="44"/>
    </w:rPr>
  </w:style>
  <w:style w:type="paragraph" w:styleId="3">
    <w:name w:val="heading 2"/>
    <w:basedOn w:val="1"/>
    <w:next w:val="1"/>
    <w:unhideWhenUsed/>
    <w:qFormat/>
    <w:uiPriority w:val="0"/>
    <w:pPr>
      <w:keepNext w:val="0"/>
      <w:keepLines/>
      <w:spacing w:beforeLines="0" w:beforeAutospacing="0" w:afterLines="0" w:afterAutospacing="0" w:line="240" w:lineRule="auto"/>
      <w:ind w:firstLine="1040" w:firstLineChars="200"/>
      <w:outlineLvl w:val="1"/>
    </w:pPr>
    <w:rPr>
      <w:rFonts w:ascii="Times New Roman" w:hAnsi="Times New Roman" w:eastAsia="楷体"/>
      <w:b/>
    </w:rPr>
  </w:style>
  <w:style w:type="paragraph" w:styleId="4">
    <w:name w:val="heading 3"/>
    <w:basedOn w:val="1"/>
    <w:next w:val="1"/>
    <w:unhideWhenUsed/>
    <w:qFormat/>
    <w:uiPriority w:val="0"/>
    <w:pPr>
      <w:keepNext w:val="0"/>
      <w:keepLines/>
      <w:spacing w:beforeLines="0" w:beforeAutospacing="0" w:afterLines="0" w:afterAutospacing="0" w:line="240" w:lineRule="auto"/>
      <w:outlineLvl w:val="2"/>
    </w:pPr>
    <w:rPr>
      <w:rFonts w:ascii="Times New Roman" w:hAnsi="Times New Roman"/>
      <w:b/>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toc 3"/>
    <w:basedOn w:val="1"/>
    <w:next w:val="1"/>
    <w:qFormat/>
    <w:uiPriority w:val="0"/>
    <w:pPr>
      <w:ind w:left="840" w:leftChars="40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paragraph" w:styleId="9">
    <w:name w:val="toc 2"/>
    <w:basedOn w:val="1"/>
    <w:next w:val="1"/>
    <w:qFormat/>
    <w:uiPriority w:val="0"/>
    <w:pPr>
      <w:ind w:left="420" w:leftChars="200"/>
    </w:p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d6638cc9-eb9b-4940-ae1f-a0521af94aa2</errorID>
      <errorWord>清原县</errorWord>
      <group>L1_Knowledge</group>
      <groupName>知识性问题</groupName>
      <ability>L2_Location</ability>
      <abilityName>地名检查</abilityName>
      <candidateList>
        <item>清原满族自治县</item>
      </candidateList>
      <explain>自治区州县缩写不规范。《地名管理条例》第十八条规定，标识牌、公共平台发布的信息、各类公文证件、学习类公开出版物、地图、法律法规规定等场景范围内必须使用标准地名。</explain>
      <paraID>2A1D1400</paraID>
      <start>7</start>
      <end>10</end>
      <status>ignored</status>
      <modifiedWord/>
      <trackRevisions>false</trackRevisions>
    </reviewItem>
    <reviewItem>
      <errorID>2a3ac7bd-a604-4610-a76e-d453dd976626</errorID>
      <errorWord>生态红线</errorWord>
      <group>L1_Political</group>
      <groupName>政治性问题</groupName>
      <ability>L2_Unpolitical</ability>
      <abilityName>政治敏感错误</abilityName>
      <candidateList>
        <item>生态保护红线</item>
      </candidateList>
      <explain/>
      <paraID>55A8B9EB</paraID>
      <start>88</start>
      <end>94</end>
      <status>modified</status>
      <modifiedWord>生态保护红线</modifiedWord>
      <trackRevisions>false</trackRevisions>
    </reviewItem>
    <reviewItem>
      <errorID>baa6602a-a238-4ab1-bc91-10f9afc2e022</errorID>
      <errorWord>清原县</errorWord>
      <group>L1_Knowledge</group>
      <groupName>知识性问题</groupName>
      <ability>L2_Location</ability>
      <abilityName>地名检查</abilityName>
      <candidateList>
        <item>清原满族自治县</item>
      </candidateList>
      <explain>自治区州县缩写不规范。《地名管理条例》第十八条规定，标识牌、公共平台发布的信息、各类公文证件、学习类公开出版物、地图、法律法规规定等场景范围内必须使用标准地名。</explain>
      <paraID>5B495A51</paraID>
      <start>8</start>
      <end>11</end>
      <status>ignored</status>
      <modifiedWord/>
      <trackRevisions>false</trackRevisions>
    </reviewItem>
    <reviewItem>
      <errorID>a12a37cf-43cd-41e4-8921-a72e43aabe20</errorID>
      <errorWord>清原县</errorWord>
      <group>L1_Knowledge</group>
      <groupName>知识性问题</groupName>
      <ability>L2_Location</ability>
      <abilityName>地名检查</abilityName>
      <candidateList>
        <item>清原满族自治县</item>
      </candidateList>
      <explain>自治区州县缩写不规范。《地名管理条例》第十八条规定，标识牌、公共平台发布的信息、各类公文证件、学习类公开出版物、地图、法律法规规定等场景范围内必须使用标准地名。</explain>
      <paraID>3153AFB1</paraID>
      <start>8</start>
      <end>11</end>
      <status>ignored</status>
      <modifiedWord/>
      <trackRevisions>false</trackRevisions>
    </reviewItem>
    <reviewItem>
      <errorID>6a94ee72-efa4-4277-97f8-300b2caa9363</errorID>
      <errorWord>清原县</errorWord>
      <group>L1_Knowledge</group>
      <groupName>知识性问题</groupName>
      <ability>L2_Location</ability>
      <abilityName>地名检查</abilityName>
      <candidateList>
        <item>清原满族自治县</item>
      </candidateList>
      <explain>自治区州县缩写不规范。《地名管理条例》第十八条规定，标识牌、公共平台发布的信息、各类公文证件、学习类公开出版物、地图、法律法规规定等场景范围内必须使用标准地名。</explain>
      <paraID>3153AFB1</paraID>
      <start>54</start>
      <end>57</end>
      <status>ignored</status>
      <modifiedWord/>
      <trackRevisions>false</trackRevisions>
    </reviewItem>
    <reviewItem>
      <errorID>fd93b9dd-2345-4953-a883-8e1a8eaa2152</errorID>
      <errorWord>清原县</errorWord>
      <group>L1_Knowledge</group>
      <groupName>知识性问题</groupName>
      <ability>L2_Location</ability>
      <abilityName>地名检查</abilityName>
      <candidateList>
        <item>清原满族自治县</item>
      </candidateList>
      <explain>自治区州县缩写不规范。《地名管理条例》第十八条规定，标识牌、公共平台发布的信息、各类公文证件、学习类公开出版物、地图、法律法规规定等场景范围内必须使用标准地名。</explain>
      <paraID>4F83B30F</paraID>
      <start>8</start>
      <end>11</end>
      <status>ignored</status>
      <modifiedWord/>
      <trackRevisions>false</trackRevisions>
    </reviewItem>
    <reviewItem>
      <errorID>7f8bd292-3f0c-489c-99ef-e04c2a4a7c71</errorID>
      <errorWord>清原县</errorWord>
      <group>L1_Knowledge</group>
      <groupName>知识性问题</groupName>
      <ability>L2_Location</ability>
      <abilityName>地名检查</abilityName>
      <candidateList>
        <item>清原满族自治县</item>
      </candidateList>
      <explain>自治区州县缩写不规范。《地名管理条例》第十八条规定，标识牌、公共平台发布的信息、各类公文证件、学习类公开出版物、地图、法律法规规定等场景范围内必须使用标准地名。</explain>
      <paraID>1E78B6EF</paraID>
      <start>8</start>
      <end>11</end>
      <status>ignored</status>
      <modifiedWord/>
      <trackRevisions>false</trackRevisions>
    </reviewItem>
    <reviewItem>
      <errorID>5e4352ce-121f-43a0-ab47-e75644dc2341</errorID>
      <errorWord>清原县</errorWord>
      <group>L1_Knowledge</group>
      <groupName>知识性问题</groupName>
      <ability>L2_Location</ability>
      <abilityName>地名检查</abilityName>
      <candidateList>
        <item>清原满族自治县</item>
      </candidateList>
      <explain>自治区州县缩写不规范。《地名管理条例》第十八条规定，标识牌、公共平台发布的信息、各类公文证件、学习类公开出版物、地图、法律法规规定等场景范围内必须使用标准地名。</explain>
      <paraID>1E78B6EF</paraID>
      <start>147</start>
      <end>150</end>
      <status>ignored</status>
      <modifiedWord/>
      <trackRevisions>false</trackRevisions>
    </reviewItem>
    <reviewItem>
      <errorID>f86a1a97-c9da-4ab9-b00f-fc17d0c6f74f</errorID>
      <errorWord>一系列的</errorWord>
      <group>L1_Word</group>
      <groupName>字词问题</groupName>
      <ability>L2_Typo</ability>
      <abilityName>字词错误</abilityName>
      <candidateList>
        <item>一系列</item>
      </candidateList>
      <explain/>
      <paraID>7B63DD80</paraID>
      <start>104</start>
      <end>108</end>
      <status>ignored</status>
      <modifiedWord/>
      <trackRevisions>false</trackRevisions>
    </reviewItem>
    <reviewItem>
      <errorID>8628eba6-85f3-433b-960b-6a5520f60293</errorID>
      <errorWord>的</errorWord>
      <group>L1_Word</group>
      <groupName>字词问题</groupName>
      <ability>L2_DDD</ability>
      <abilityName>的地得用法</abilityName>
      <candidateList>
        <item>地</item>
      </candidateList>
      <explain/>
      <paraID>3F11A24C</paraID>
      <start>65</start>
      <end>66</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01b6a14-df3c-4398-9450-1d0c80fa2862}">
  <ds:schemaRefs/>
</ds:datastoreItem>
</file>

<file path=docProps/app.xml><?xml version="1.0" encoding="utf-8"?>
<Properties xmlns="http://schemas.openxmlformats.org/officeDocument/2006/extended-properties" xmlns:vt="http://schemas.openxmlformats.org/officeDocument/2006/docPropsVTypes">
  <Template>Normal.dotm</Template>
  <Pages>15</Pages>
  <Words>5814</Words>
  <Characters>5946</Characters>
  <Lines>0</Lines>
  <Paragraphs>0</Paragraphs>
  <TotalTime>2</TotalTime>
  <ScaleCrop>false</ScaleCrop>
  <LinksUpToDate>false</LinksUpToDate>
  <CharactersWithSpaces>7637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2026-04-09T02:43:00Z</dcterms:created>
  <dc:creator>Administrator</dc:creator>
  <cp:lastModifiedBy>王蒙</cp:lastModifiedBy>
  <dcterms:modified xsi:type="dcterms:W3CDTF">2026-08-03T15:32:49Z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eyJoZGlkIjoiOTExZjUzYWJmMGYzMGRhY2Y4ZDdkOTViODhlMTU2MGEiLCJ1c2VySWQiOiIxODQyMDMxMDM0In0=</vt:lpwstr>
  </property>
  <property fmtid="{D5CDD505-2E9C-101B-9397-08002B2CF9AE}" pid="4" name="ICV">
    <vt:lpwstr>87FB1E74CBFE48DBBA2459338648CE90_13</vt:lpwstr>
  </property>
</Properties>
</file>