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rFonts w:eastAsiaTheme="minorEastAsia"/>
        </w:rPr>
      </w:pPr>
    </w:p>
    <w:p>
      <w:pPr>
        <w:pStyle w:val="2"/>
        <w:spacing w:before="3"/>
        <w:ind w:firstLine="1084" w:firstLineChars="300"/>
        <w:jc w:val="left"/>
      </w:pPr>
      <w:r>
        <w:rPr>
          <w:rFonts w:hint="eastAsia" w:asciiTheme="majorAscii" w:eastAsiaTheme="minorEastAsia"/>
          <w:b/>
          <w:bCs/>
          <w:sz w:val="36"/>
          <w:szCs w:val="36"/>
          <w:u w:val="none"/>
          <w:lang w:val="en-US" w:eastAsia="zh-CN"/>
        </w:rPr>
        <w:t>涉农补贴</w:t>
      </w:r>
      <w:r>
        <w:rPr>
          <w:rFonts w:asciiTheme="majorAscii"/>
          <w:b/>
          <w:bCs/>
          <w:sz w:val="36"/>
          <w:szCs w:val="36"/>
        </w:rPr>
        <w:t>领域基层政务公开标准目录</w:t>
      </w:r>
    </w:p>
    <w:p>
      <w:pPr>
        <w:rPr>
          <w:u w:val="single"/>
        </w:rPr>
        <w:sectPr>
          <w:footerReference r:id="rId3" w:type="default"/>
          <w:pgSz w:w="16840" w:h="11910" w:orient="landscape"/>
          <w:pgMar w:top="1040" w:right="580" w:bottom="1300" w:left="580" w:header="720" w:footer="1116" w:gutter="0"/>
          <w:pgNumType w:start="3"/>
          <w:cols w:equalWidth="0" w:num="2">
            <w:col w:w="1741" w:space="2358"/>
            <w:col w:w="11581"/>
          </w:cols>
        </w:sectPr>
      </w:pPr>
    </w:p>
    <w:tbl>
      <w:tblPr>
        <w:tblStyle w:val="7"/>
        <w:tblpPr w:leftFromText="180" w:rightFromText="180" w:vertAnchor="page" w:horzAnchor="page" w:tblpX="751" w:tblpY="2178"/>
        <w:tblOverlap w:val="never"/>
        <w:tblW w:w="15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07"/>
        <w:gridCol w:w="853"/>
        <w:gridCol w:w="2214"/>
        <w:gridCol w:w="2265"/>
        <w:gridCol w:w="1545"/>
        <w:gridCol w:w="919"/>
        <w:gridCol w:w="3526"/>
        <w:gridCol w:w="851"/>
        <w:gridCol w:w="742"/>
        <w:gridCol w:w="655"/>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dxa"/>
            <w:vMerge w:val="restart"/>
            <w:shd w:val="clear" w:color="auto" w:fill="EDEBE0"/>
          </w:tcPr>
          <w:p>
            <w:pPr>
              <w:pStyle w:val="11"/>
              <w:spacing w:before="169" w:line="228" w:lineRule="auto"/>
              <w:ind w:left="132" w:right="122"/>
              <w:rPr>
                <w:rFonts w:ascii="PMingLiU" w:eastAsia="PMingLiU"/>
              </w:rPr>
            </w:pPr>
            <w:r>
              <w:rPr>
                <w:rFonts w:hint="eastAsia" w:ascii="PMingLiU" w:eastAsia="PMingLiU"/>
              </w:rPr>
              <w:t>序号</w:t>
            </w:r>
          </w:p>
        </w:tc>
        <w:tc>
          <w:tcPr>
            <w:tcW w:w="1560" w:type="dxa"/>
            <w:gridSpan w:val="2"/>
            <w:shd w:val="clear" w:color="auto" w:fill="EDEBE0"/>
          </w:tcPr>
          <w:p>
            <w:pPr>
              <w:pStyle w:val="11"/>
              <w:spacing w:before="12" w:line="248" w:lineRule="exact"/>
              <w:ind w:left="360"/>
              <w:rPr>
                <w:rFonts w:ascii="PMingLiU" w:eastAsia="PMingLiU"/>
              </w:rPr>
            </w:pPr>
            <w:r>
              <w:rPr>
                <w:rFonts w:hint="eastAsia" w:ascii="PMingLiU" w:eastAsia="PMingLiU"/>
              </w:rPr>
              <w:t>公开事项</w:t>
            </w:r>
          </w:p>
        </w:tc>
        <w:tc>
          <w:tcPr>
            <w:tcW w:w="2214" w:type="dxa"/>
            <w:vMerge w:val="restart"/>
          </w:tcPr>
          <w:p>
            <w:pPr>
              <w:pStyle w:val="11"/>
              <w:spacing w:before="158" w:line="286" w:lineRule="exact"/>
              <w:ind w:left="717"/>
              <w:rPr>
                <w:rFonts w:ascii="PMingLiU" w:eastAsia="PMingLiU"/>
              </w:rPr>
            </w:pPr>
            <w:r>
              <w:rPr>
                <w:rFonts w:hint="eastAsia" w:ascii="PMingLiU" w:eastAsia="PMingLiU"/>
                <w:w w:val="95"/>
              </w:rPr>
              <w:t>公开内容</w:t>
            </w:r>
          </w:p>
          <w:p>
            <w:pPr>
              <w:pStyle w:val="11"/>
              <w:spacing w:line="286" w:lineRule="exact"/>
              <w:ind w:left="717"/>
              <w:rPr>
                <w:rFonts w:ascii="PMingLiU" w:eastAsia="PMingLiU"/>
              </w:rPr>
            </w:pPr>
            <w:r>
              <w:rPr>
                <w:rFonts w:hint="eastAsia" w:ascii="PMingLiU" w:eastAsia="PMingLiU"/>
                <w:w w:val="95"/>
              </w:rPr>
              <w:t>（要素）</w:t>
            </w:r>
          </w:p>
        </w:tc>
        <w:tc>
          <w:tcPr>
            <w:tcW w:w="2265" w:type="dxa"/>
            <w:vMerge w:val="restart"/>
          </w:tcPr>
          <w:p>
            <w:pPr>
              <w:pStyle w:val="11"/>
              <w:spacing w:before="4"/>
              <w:rPr>
                <w:rFonts w:ascii="PMingLiU"/>
              </w:rPr>
            </w:pPr>
          </w:p>
          <w:p>
            <w:pPr>
              <w:pStyle w:val="11"/>
              <w:ind w:left="740"/>
              <w:rPr>
                <w:rFonts w:ascii="PMingLiU" w:eastAsia="PMingLiU"/>
              </w:rPr>
            </w:pPr>
            <w:r>
              <w:rPr>
                <w:rFonts w:hint="eastAsia" w:ascii="PMingLiU" w:eastAsia="PMingLiU"/>
              </w:rPr>
              <w:t>公开依据</w:t>
            </w:r>
          </w:p>
        </w:tc>
        <w:tc>
          <w:tcPr>
            <w:tcW w:w="1545" w:type="dxa"/>
            <w:vMerge w:val="restart"/>
          </w:tcPr>
          <w:p>
            <w:pPr>
              <w:pStyle w:val="11"/>
              <w:spacing w:before="4"/>
              <w:rPr>
                <w:rFonts w:ascii="PMingLiU"/>
              </w:rPr>
            </w:pPr>
          </w:p>
          <w:p>
            <w:pPr>
              <w:pStyle w:val="11"/>
              <w:ind w:left="328"/>
              <w:rPr>
                <w:rFonts w:ascii="PMingLiU" w:eastAsia="PMingLiU"/>
              </w:rPr>
            </w:pPr>
            <w:r>
              <w:rPr>
                <w:rFonts w:hint="eastAsia" w:ascii="PMingLiU" w:eastAsia="PMingLiU"/>
              </w:rPr>
              <w:t>公开时限</w:t>
            </w:r>
          </w:p>
        </w:tc>
        <w:tc>
          <w:tcPr>
            <w:tcW w:w="919" w:type="dxa"/>
            <w:vMerge w:val="restart"/>
          </w:tcPr>
          <w:p>
            <w:pPr>
              <w:pStyle w:val="11"/>
              <w:spacing w:before="169" w:line="228" w:lineRule="auto"/>
              <w:ind w:left="317" w:right="97" w:hanging="209"/>
              <w:rPr>
                <w:rFonts w:ascii="PMingLiU" w:eastAsia="PMingLiU"/>
              </w:rPr>
            </w:pPr>
            <w:r>
              <w:rPr>
                <w:rFonts w:hint="eastAsia" w:ascii="PMingLiU" w:eastAsia="PMingLiU"/>
              </w:rPr>
              <w:t>公开主体</w:t>
            </w:r>
          </w:p>
        </w:tc>
        <w:tc>
          <w:tcPr>
            <w:tcW w:w="3526" w:type="dxa"/>
            <w:vMerge w:val="restart"/>
          </w:tcPr>
          <w:p>
            <w:pPr>
              <w:pStyle w:val="11"/>
              <w:spacing w:before="3" w:line="280" w:lineRule="exact"/>
              <w:ind w:left="108" w:right="98"/>
              <w:jc w:val="center"/>
              <w:rPr>
                <w:rFonts w:ascii="PMingLiU" w:eastAsia="PMingLiU"/>
              </w:rPr>
            </w:pPr>
            <w:r>
              <w:rPr>
                <w:rFonts w:hint="eastAsia" w:ascii="PMingLiU" w:eastAsia="PMingLiU"/>
                <w:spacing w:val="-8"/>
                <w:w w:val="95"/>
              </w:rPr>
              <w:t>公开渠道和载体</w:t>
            </w:r>
            <w:r>
              <w:rPr>
                <w:rFonts w:hint="eastAsia" w:ascii="PMingLiU" w:eastAsia="PMingLiU"/>
                <w:w w:val="95"/>
              </w:rPr>
              <w:t>（</w:t>
            </w:r>
            <w:r>
              <w:rPr>
                <w:rFonts w:hint="eastAsia" w:ascii="PMingLiU" w:eastAsia="PMingLiU"/>
                <w:spacing w:val="-2"/>
                <w:w w:val="95"/>
              </w:rPr>
              <w:t>在标注范围内至少</w:t>
            </w:r>
            <w:r>
              <w:rPr>
                <w:rFonts w:hint="eastAsia" w:ascii="PMingLiU" w:eastAsia="PMingLiU"/>
                <w:spacing w:val="-8"/>
                <w:w w:val="95"/>
              </w:rPr>
              <w:t>选择其一公开，法律法规规章另有规</w:t>
            </w:r>
            <w:r>
              <w:rPr>
                <w:rFonts w:hint="eastAsia" w:ascii="PMingLiU" w:eastAsia="PMingLiU"/>
              </w:rPr>
              <w:t>定的从其规定）</w:t>
            </w:r>
          </w:p>
        </w:tc>
        <w:tc>
          <w:tcPr>
            <w:tcW w:w="1593" w:type="dxa"/>
            <w:gridSpan w:val="2"/>
          </w:tcPr>
          <w:p>
            <w:pPr>
              <w:pStyle w:val="11"/>
              <w:spacing w:before="12" w:line="248" w:lineRule="exact"/>
              <w:ind w:left="376"/>
              <w:rPr>
                <w:rFonts w:ascii="PMingLiU" w:eastAsia="PMingLiU"/>
              </w:rPr>
            </w:pPr>
            <w:r>
              <w:rPr>
                <w:rFonts w:hint="eastAsia" w:ascii="PMingLiU" w:eastAsia="PMingLiU"/>
              </w:rPr>
              <w:t>公开对象</w:t>
            </w:r>
          </w:p>
        </w:tc>
        <w:tc>
          <w:tcPr>
            <w:tcW w:w="1360" w:type="dxa"/>
            <w:gridSpan w:val="2"/>
          </w:tcPr>
          <w:p>
            <w:pPr>
              <w:pStyle w:val="11"/>
              <w:spacing w:before="12" w:line="248" w:lineRule="exact"/>
              <w:ind w:left="259"/>
              <w:rPr>
                <w:rFonts w:ascii="PMingLiU" w:eastAsia="PMingLiU"/>
              </w:rPr>
            </w:pPr>
            <w:r>
              <w:rPr>
                <w:rFonts w:hint="eastAsia" w:ascii="PMingLiU" w:eastAsia="PMingLiU"/>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6" w:type="dxa"/>
            <w:vMerge w:val="continue"/>
            <w:tcBorders>
              <w:top w:val="nil"/>
              <w:bottom w:val="single" w:color="auto" w:sz="4" w:space="0"/>
            </w:tcBorders>
            <w:shd w:val="clear" w:color="auto" w:fill="EDEBE0"/>
          </w:tcPr>
          <w:p>
            <w:pPr>
              <w:rPr>
                <w:sz w:val="2"/>
                <w:szCs w:val="2"/>
              </w:rPr>
            </w:pPr>
          </w:p>
        </w:tc>
        <w:tc>
          <w:tcPr>
            <w:tcW w:w="707" w:type="dxa"/>
            <w:tcBorders>
              <w:bottom w:val="single" w:color="auto" w:sz="4" w:space="0"/>
            </w:tcBorders>
            <w:shd w:val="clear" w:color="auto" w:fill="EDEBE0"/>
          </w:tcPr>
          <w:p>
            <w:pPr>
              <w:pStyle w:val="11"/>
              <w:spacing w:before="12" w:line="287" w:lineRule="exact"/>
              <w:ind w:left="141"/>
              <w:rPr>
                <w:rFonts w:ascii="PMingLiU" w:eastAsia="PMingLiU"/>
              </w:rPr>
            </w:pPr>
            <w:r>
              <w:rPr>
                <w:rFonts w:hint="eastAsia" w:ascii="PMingLiU" w:eastAsia="PMingLiU"/>
                <w:spacing w:val="-1"/>
                <w:w w:val="95"/>
              </w:rPr>
              <w:t>一级</w:t>
            </w:r>
          </w:p>
          <w:p>
            <w:pPr>
              <w:pStyle w:val="11"/>
              <w:spacing w:line="240" w:lineRule="exact"/>
              <w:ind w:left="141"/>
              <w:rPr>
                <w:rFonts w:ascii="PMingLiU" w:eastAsia="PMingLiU"/>
              </w:rPr>
            </w:pPr>
            <w:r>
              <w:rPr>
                <w:rFonts w:hint="eastAsia" w:ascii="PMingLiU" w:eastAsia="PMingLiU"/>
                <w:spacing w:val="-1"/>
                <w:w w:val="95"/>
              </w:rPr>
              <w:t>事项</w:t>
            </w:r>
          </w:p>
        </w:tc>
        <w:tc>
          <w:tcPr>
            <w:tcW w:w="853" w:type="dxa"/>
            <w:shd w:val="clear" w:color="auto" w:fill="EDEBE0"/>
          </w:tcPr>
          <w:p>
            <w:pPr>
              <w:pStyle w:val="11"/>
              <w:spacing w:before="12" w:line="287" w:lineRule="exact"/>
              <w:ind w:left="87" w:right="78"/>
              <w:jc w:val="center"/>
              <w:rPr>
                <w:rFonts w:ascii="PMingLiU" w:eastAsia="PMingLiU"/>
              </w:rPr>
            </w:pPr>
            <w:r>
              <w:rPr>
                <w:rFonts w:hint="eastAsia" w:ascii="PMingLiU" w:eastAsia="PMingLiU"/>
              </w:rPr>
              <w:t>二级事</w:t>
            </w:r>
          </w:p>
          <w:p>
            <w:pPr>
              <w:pStyle w:val="11"/>
              <w:spacing w:line="240" w:lineRule="exact"/>
              <w:ind w:left="6"/>
              <w:jc w:val="center"/>
              <w:rPr>
                <w:rFonts w:ascii="PMingLiU" w:eastAsia="PMingLiU"/>
              </w:rPr>
            </w:pPr>
            <w:r>
              <w:rPr>
                <w:rFonts w:hint="eastAsia" w:ascii="PMingLiU" w:eastAsia="PMingLiU"/>
                <w:w w:val="99"/>
              </w:rPr>
              <w:t>项</w:t>
            </w:r>
          </w:p>
        </w:tc>
        <w:tc>
          <w:tcPr>
            <w:tcW w:w="2214" w:type="dxa"/>
            <w:vMerge w:val="continue"/>
            <w:tcBorders>
              <w:top w:val="nil"/>
            </w:tcBorders>
          </w:tcPr>
          <w:p>
            <w:pPr>
              <w:rPr>
                <w:sz w:val="2"/>
                <w:szCs w:val="2"/>
              </w:rPr>
            </w:pPr>
          </w:p>
        </w:tc>
        <w:tc>
          <w:tcPr>
            <w:tcW w:w="2265" w:type="dxa"/>
            <w:vMerge w:val="continue"/>
            <w:tcBorders>
              <w:top w:val="nil"/>
            </w:tcBorders>
          </w:tcPr>
          <w:p>
            <w:pPr>
              <w:rPr>
                <w:sz w:val="2"/>
                <w:szCs w:val="2"/>
              </w:rPr>
            </w:pPr>
          </w:p>
        </w:tc>
        <w:tc>
          <w:tcPr>
            <w:tcW w:w="1545" w:type="dxa"/>
            <w:vMerge w:val="continue"/>
            <w:tcBorders>
              <w:top w:val="nil"/>
            </w:tcBorders>
          </w:tcPr>
          <w:p>
            <w:pPr>
              <w:rPr>
                <w:sz w:val="2"/>
                <w:szCs w:val="2"/>
              </w:rPr>
            </w:pPr>
          </w:p>
        </w:tc>
        <w:tc>
          <w:tcPr>
            <w:tcW w:w="919" w:type="dxa"/>
            <w:vMerge w:val="continue"/>
            <w:tcBorders>
              <w:top w:val="nil"/>
            </w:tcBorders>
          </w:tcPr>
          <w:p>
            <w:pPr>
              <w:rPr>
                <w:sz w:val="2"/>
                <w:szCs w:val="2"/>
              </w:rPr>
            </w:pPr>
          </w:p>
        </w:tc>
        <w:tc>
          <w:tcPr>
            <w:tcW w:w="3526" w:type="dxa"/>
            <w:vMerge w:val="continue"/>
            <w:tcBorders>
              <w:top w:val="nil"/>
            </w:tcBorders>
          </w:tcPr>
          <w:p>
            <w:pPr>
              <w:rPr>
                <w:sz w:val="2"/>
                <w:szCs w:val="2"/>
              </w:rPr>
            </w:pPr>
          </w:p>
        </w:tc>
        <w:tc>
          <w:tcPr>
            <w:tcW w:w="851" w:type="dxa"/>
          </w:tcPr>
          <w:p>
            <w:pPr>
              <w:pStyle w:val="11"/>
              <w:spacing w:before="154"/>
              <w:ind w:left="89" w:right="81"/>
              <w:jc w:val="center"/>
              <w:rPr>
                <w:rFonts w:ascii="PMingLiU" w:eastAsia="PMingLiU"/>
              </w:rPr>
            </w:pPr>
            <w:r>
              <w:rPr>
                <w:rFonts w:hint="eastAsia" w:ascii="PMingLiU" w:eastAsia="PMingLiU"/>
              </w:rPr>
              <w:t>全社会</w:t>
            </w:r>
          </w:p>
        </w:tc>
        <w:tc>
          <w:tcPr>
            <w:tcW w:w="742" w:type="dxa"/>
          </w:tcPr>
          <w:p>
            <w:pPr>
              <w:pStyle w:val="11"/>
              <w:spacing w:before="12" w:line="287" w:lineRule="exact"/>
              <w:ind w:left="161"/>
              <w:rPr>
                <w:rFonts w:ascii="PMingLiU" w:eastAsia="PMingLiU"/>
              </w:rPr>
            </w:pPr>
            <w:r>
              <w:rPr>
                <w:rFonts w:hint="eastAsia" w:ascii="PMingLiU" w:eastAsia="PMingLiU"/>
                <w:spacing w:val="-1"/>
                <w:w w:val="95"/>
              </w:rPr>
              <w:t>特定</w:t>
            </w:r>
          </w:p>
          <w:p>
            <w:pPr>
              <w:pStyle w:val="11"/>
              <w:spacing w:line="240" w:lineRule="exact"/>
              <w:ind w:left="161"/>
              <w:rPr>
                <w:rFonts w:ascii="PMingLiU" w:eastAsia="PMingLiU"/>
              </w:rPr>
            </w:pPr>
            <w:r>
              <w:rPr>
                <w:rFonts w:hint="eastAsia" w:ascii="PMingLiU" w:eastAsia="PMingLiU"/>
                <w:spacing w:val="-1"/>
                <w:w w:val="95"/>
              </w:rPr>
              <w:t>群体</w:t>
            </w:r>
          </w:p>
        </w:tc>
        <w:tc>
          <w:tcPr>
            <w:tcW w:w="655" w:type="dxa"/>
          </w:tcPr>
          <w:p>
            <w:pPr>
              <w:pStyle w:val="11"/>
              <w:spacing w:before="154"/>
              <w:ind w:left="94" w:right="90"/>
              <w:jc w:val="center"/>
              <w:rPr>
                <w:rFonts w:ascii="PMingLiU" w:eastAsia="PMingLiU"/>
              </w:rPr>
            </w:pPr>
            <w:r>
              <w:rPr>
                <w:rFonts w:hint="eastAsia" w:ascii="PMingLiU" w:eastAsia="PMingLiU"/>
              </w:rPr>
              <w:t>主动</w:t>
            </w:r>
          </w:p>
        </w:tc>
        <w:tc>
          <w:tcPr>
            <w:tcW w:w="705" w:type="dxa"/>
          </w:tcPr>
          <w:p>
            <w:pPr>
              <w:pStyle w:val="11"/>
              <w:spacing w:before="12" w:line="287" w:lineRule="exact"/>
              <w:ind w:left="121" w:right="114"/>
              <w:jc w:val="center"/>
              <w:rPr>
                <w:rFonts w:ascii="PMingLiU" w:eastAsia="PMingLiU"/>
              </w:rPr>
            </w:pPr>
            <w:r>
              <w:rPr>
                <w:rFonts w:hint="eastAsia" w:ascii="PMingLiU" w:eastAsia="PMingLiU"/>
              </w:rPr>
              <w:t>依申</w:t>
            </w:r>
          </w:p>
          <w:p>
            <w:pPr>
              <w:pStyle w:val="11"/>
              <w:spacing w:line="240" w:lineRule="exact"/>
              <w:ind w:left="5"/>
              <w:jc w:val="center"/>
              <w:rPr>
                <w:rFonts w:ascii="PMingLiU" w:eastAsia="PMingLiU"/>
              </w:rPr>
            </w:pPr>
            <w:r>
              <w:rPr>
                <w:rFonts w:hint="eastAsia" w:ascii="PMingLiU" w:eastAsia="PMingLiU"/>
                <w:w w:val="99"/>
              </w:rPr>
              <w:t>请</w:t>
            </w:r>
          </w:p>
        </w:tc>
      </w:tr>
    </w:tbl>
    <w:tbl>
      <w:tblPr>
        <w:tblStyle w:val="7"/>
        <w:tblpPr w:leftFromText="180" w:rightFromText="180" w:vertAnchor="page" w:horzAnchor="page" w:tblpX="766" w:tblpY="3078"/>
        <w:tblOverlap w:val="never"/>
        <w:tblW w:w="15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720"/>
        <w:gridCol w:w="825"/>
        <w:gridCol w:w="2250"/>
        <w:gridCol w:w="2268"/>
        <w:gridCol w:w="1559"/>
        <w:gridCol w:w="851"/>
        <w:gridCol w:w="3544"/>
        <w:gridCol w:w="850"/>
        <w:gridCol w:w="709"/>
        <w:gridCol w:w="709"/>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40" w:type="dxa"/>
            <w:tcBorders>
              <w:bottom w:val="single" w:color="auto" w:sz="4" w:space="0"/>
            </w:tcBorders>
            <w:shd w:val="clear" w:color="auto" w:fill="EDEBE0"/>
            <w:vAlign w:val="center"/>
          </w:tcPr>
          <w:p>
            <w:pPr>
              <w:pStyle w:val="11"/>
              <w:spacing w:before="52"/>
              <w:ind w:left="106"/>
              <w:jc w:val="center"/>
              <w:rPr>
                <w:rFonts w:hint="eastAsia" w:ascii="Times New Roman" w:eastAsia="SimSun"/>
                <w:sz w:val="20"/>
                <w:szCs w:val="20"/>
                <w:lang w:eastAsia="zh-CN"/>
              </w:rPr>
            </w:pPr>
            <w:r>
              <w:rPr>
                <w:rFonts w:hint="eastAsia" w:ascii="Times New Roman"/>
                <w:sz w:val="20"/>
                <w:szCs w:val="20"/>
                <w:lang w:val="en-US" w:eastAsia="zh-CN"/>
              </w:rPr>
              <w:t>1</w:t>
            </w:r>
          </w:p>
        </w:tc>
        <w:tc>
          <w:tcPr>
            <w:tcW w:w="720" w:type="dxa"/>
            <w:tcBorders>
              <w:bottom w:val="single" w:color="auto"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农业植物及其产品调运检疫及植物检疫证书签发</w:t>
            </w:r>
          </w:p>
        </w:tc>
        <w:tc>
          <w:tcPr>
            <w:tcW w:w="825" w:type="dxa"/>
            <w:tcBorders>
              <w:bottom w:val="single" w:color="auto" w:sz="4" w:space="0"/>
            </w:tcBorders>
            <w:shd w:val="clear" w:color="auto" w:fill="EDEBE0"/>
          </w:tcPr>
          <w:p>
            <w:pPr>
              <w:pStyle w:val="11"/>
              <w:spacing w:before="42" w:line="300" w:lineRule="auto"/>
              <w:ind w:left="108" w:right="97"/>
              <w:rPr>
                <w:sz w:val="15"/>
              </w:rPr>
            </w:pPr>
          </w:p>
        </w:tc>
        <w:tc>
          <w:tcPr>
            <w:tcW w:w="2250" w:type="dxa"/>
            <w:shd w:val="clear" w:color="auto" w:fill="EDEBE0"/>
          </w:tcPr>
          <w:p>
            <w:pPr>
              <w:pStyle w:val="11"/>
              <w:spacing w:before="42"/>
              <w:ind w:left="53" w:right="82"/>
              <w:jc w:val="left"/>
              <w:rPr>
                <w:sz w:val="15"/>
              </w:rPr>
            </w:pPr>
            <w:r>
              <w:rPr>
                <w:rFonts w:hint="eastAsia" w:ascii="FangSong" w:hAnsi="FangSong" w:eastAsia="FangSong"/>
                <w:sz w:val="18"/>
                <w:szCs w:val="18"/>
              </w:rPr>
              <w:t>植物检疫、农作物重大病虫害预测预报和防控的相关信息；</w:t>
            </w:r>
          </w:p>
        </w:tc>
        <w:tc>
          <w:tcPr>
            <w:tcW w:w="2268" w:type="dxa"/>
          </w:tcPr>
          <w:p>
            <w:pPr>
              <w:pStyle w:val="11"/>
              <w:spacing w:line="191" w:lineRule="exact"/>
              <w:ind w:left="106"/>
              <w:rPr>
                <w:sz w:val="15"/>
              </w:rPr>
            </w:pPr>
            <w:r>
              <w:rPr>
                <w:rFonts w:hint="eastAsia" w:ascii="FangSong" w:hAnsi="FangSong" w:eastAsia="FangSong"/>
                <w:sz w:val="18"/>
                <w:szCs w:val="18"/>
              </w:rPr>
              <w:t>《中华人民共和国政府信息公开条例》（国务院令第711号）等</w:t>
            </w:r>
          </w:p>
        </w:tc>
        <w:tc>
          <w:tcPr>
            <w:tcW w:w="1559" w:type="dxa"/>
            <w:vAlign w:val="center"/>
          </w:tcPr>
          <w:p>
            <w:pPr>
              <w:pStyle w:val="11"/>
              <w:spacing w:before="42"/>
              <w:jc w:val="center"/>
              <w:rPr>
                <w:sz w:val="22"/>
                <w:szCs w:val="22"/>
              </w:rPr>
            </w:pPr>
            <w:r>
              <w:rPr>
                <w:rFonts w:hint="eastAsia"/>
                <w:sz w:val="22"/>
                <w:szCs w:val="22"/>
              </w:rPr>
              <w:t>长期</w:t>
            </w:r>
          </w:p>
        </w:tc>
        <w:tc>
          <w:tcPr>
            <w:tcW w:w="851" w:type="dxa"/>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8"/>
              <w:ind w:left="107"/>
              <w:jc w:val="left"/>
              <w:rPr>
                <w:sz w:val="15"/>
              </w:rPr>
            </w:pPr>
            <w:r>
              <w:rPr>
                <w:sz w:val="15"/>
              </w:rPr>
              <w:t>□两微一端</w:t>
            </w:r>
            <w:r>
              <w:rPr>
                <w:sz w:val="15"/>
              </w:rPr>
              <w:tab/>
            </w:r>
            <w:r>
              <w:rPr>
                <w:sz w:val="15"/>
              </w:rPr>
              <w:t>□发布会听证会</w:t>
            </w:r>
          </w:p>
          <w:p>
            <w:pPr>
              <w:pStyle w:val="11"/>
              <w:tabs>
                <w:tab w:val="left" w:pos="1157"/>
              </w:tabs>
              <w:spacing w:before="48"/>
              <w:ind w:left="108"/>
              <w:rPr>
                <w:sz w:val="15"/>
              </w:rPr>
            </w:pPr>
            <w:r>
              <w:rPr>
                <w:sz w:val="15"/>
              </w:rPr>
              <w:t>□广播电视</w:t>
            </w:r>
            <w:r>
              <w:rPr>
                <w:sz w:val="15"/>
              </w:rPr>
              <w:tab/>
            </w:r>
            <w:r>
              <w:rPr>
                <w:sz w:val="15"/>
              </w:rPr>
              <w:t>□纸质媒体</w:t>
            </w:r>
          </w:p>
          <w:p>
            <w:pPr>
              <w:pStyle w:val="11"/>
              <w:tabs>
                <w:tab w:val="left" w:pos="259"/>
              </w:tabs>
              <w:spacing w:before="48"/>
              <w:ind w:left="107"/>
              <w:jc w:val="left"/>
              <w:rPr>
                <w:sz w:val="15"/>
              </w:rPr>
            </w:pPr>
            <w:r>
              <w:rPr>
                <w:sz w:val="15"/>
              </w:rPr>
              <w:t xml:space="preserve">□公开查阅点 </w:t>
            </w:r>
            <w:r>
              <w:rPr>
                <w:rFonts w:hint="eastAsia"/>
                <w:sz w:val="15"/>
                <w:lang w:val="en-US"/>
              </w:rPr>
              <w:t xml:space="preserve"> </w:t>
            </w:r>
            <w:r>
              <w:rPr>
                <w:sz w:val="15"/>
              </w:rPr>
              <w:t>□政务服务中心</w:t>
            </w:r>
          </w:p>
          <w:p>
            <w:pPr>
              <w:pStyle w:val="11"/>
              <w:tabs>
                <w:tab w:val="left" w:pos="259"/>
              </w:tabs>
              <w:spacing w:before="48"/>
              <w:ind w:left="107"/>
              <w:jc w:val="left"/>
              <w:rPr>
                <w:sz w:val="15"/>
              </w:rPr>
            </w:pPr>
            <w:r>
              <w:rPr>
                <w:sz w:val="15"/>
              </w:rPr>
              <w:t xml:space="preserve">□便民服务站 </w:t>
            </w:r>
            <w:r>
              <w:rPr>
                <w:rFonts w:hint="eastAsia"/>
                <w:sz w:val="15"/>
                <w:lang w:val="en-US"/>
              </w:rPr>
              <w:t xml:space="preserve"> </w:t>
            </w:r>
            <w:r>
              <w:rPr>
                <w:sz w:val="15"/>
              </w:rPr>
              <w:t>□入户/现场</w:t>
            </w:r>
          </w:p>
          <w:p>
            <w:pPr>
              <w:pStyle w:val="11"/>
              <w:spacing w:before="47"/>
              <w:ind w:left="108"/>
              <w:rPr>
                <w:sz w:val="15"/>
              </w:rPr>
            </w:pPr>
            <w:r>
              <w:rPr>
                <w:sz w:val="15"/>
              </w:rPr>
              <w:t>□社区/企事业单位/村公示栏（电子屏）</w:t>
            </w:r>
          </w:p>
          <w:p>
            <w:pPr>
              <w:pStyle w:val="11"/>
              <w:tabs>
                <w:tab w:val="left" w:pos="1157"/>
              </w:tabs>
              <w:spacing w:before="48" w:line="177" w:lineRule="exact"/>
              <w:ind w:left="108"/>
              <w:rPr>
                <w:sz w:val="15"/>
              </w:rPr>
            </w:pPr>
            <w:r>
              <w:rPr>
                <w:sz w:val="15"/>
              </w:rPr>
              <w:t>□精准推送</w:t>
            </w:r>
            <w:r>
              <w:rPr>
                <w:sz w:val="15"/>
              </w:rPr>
              <w:tab/>
            </w:r>
            <w:r>
              <w:rPr>
                <w:sz w:val="15"/>
              </w:rPr>
              <w:t>□投资项目在线审批监管平台</w:t>
            </w:r>
          </w:p>
        </w:tc>
        <w:tc>
          <w:tcPr>
            <w:tcW w:w="850" w:type="dxa"/>
            <w:vAlign w:val="center"/>
          </w:tcPr>
          <w:p>
            <w:pPr>
              <w:pStyle w:val="11"/>
              <w:ind w:left="6"/>
              <w:jc w:val="center"/>
              <w:rPr>
                <w:rFonts w:ascii="FangSong" w:hAnsi="FangSong"/>
                <w:sz w:val="30"/>
              </w:rPr>
            </w:pPr>
            <w:r>
              <w:rPr>
                <w:rFonts w:hint="eastAsia" w:ascii="FangSong" w:hAnsi="FangSong"/>
                <w:sz w:val="30"/>
              </w:rPr>
              <w:t>√</w:t>
            </w:r>
          </w:p>
        </w:tc>
        <w:tc>
          <w:tcPr>
            <w:tcW w:w="709" w:type="dxa"/>
            <w:vAlign w:val="center"/>
          </w:tcPr>
          <w:p>
            <w:pPr>
              <w:pStyle w:val="11"/>
              <w:jc w:val="center"/>
              <w:rPr>
                <w:rFonts w:ascii="Times New Roman"/>
                <w:sz w:val="14"/>
              </w:rPr>
            </w:pPr>
          </w:p>
        </w:tc>
        <w:tc>
          <w:tcPr>
            <w:tcW w:w="709" w:type="dxa"/>
            <w:vAlign w:val="center"/>
          </w:tcPr>
          <w:p>
            <w:pPr>
              <w:pStyle w:val="11"/>
              <w:ind w:left="6"/>
              <w:jc w:val="center"/>
              <w:rPr>
                <w:rFonts w:ascii="FangSong" w:hAnsi="FangSong"/>
                <w:sz w:val="30"/>
              </w:rPr>
            </w:pPr>
            <w:r>
              <w:rPr>
                <w:rFonts w:hint="eastAsia" w:ascii="FangSong" w:hAnsi="FangSong"/>
                <w:sz w:val="30"/>
              </w:rPr>
              <w:t>√</w:t>
            </w:r>
          </w:p>
        </w:tc>
        <w:tc>
          <w:tcPr>
            <w:tcW w:w="815" w:type="dxa"/>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40" w:type="dxa"/>
            <w:shd w:val="clear" w:color="auto" w:fill="EDEBE0"/>
            <w:vAlign w:val="center"/>
          </w:tcPr>
          <w:p>
            <w:pPr>
              <w:pStyle w:val="11"/>
              <w:spacing w:before="51"/>
              <w:ind w:left="106"/>
              <w:jc w:val="center"/>
              <w:rPr>
                <w:rFonts w:hint="eastAsia" w:ascii="Times New Roman" w:eastAsia="SimSun"/>
                <w:sz w:val="20"/>
                <w:szCs w:val="20"/>
                <w:lang w:eastAsia="zh-CN"/>
              </w:rPr>
            </w:pPr>
            <w:r>
              <w:rPr>
                <w:rFonts w:hint="eastAsia" w:ascii="Times New Roman"/>
                <w:sz w:val="20"/>
                <w:szCs w:val="20"/>
                <w:lang w:val="en-US" w:eastAsia="zh-CN"/>
              </w:rPr>
              <w:t>2</w:t>
            </w:r>
          </w:p>
        </w:tc>
        <w:tc>
          <w:tcPr>
            <w:tcW w:w="720" w:type="dxa"/>
            <w:shd w:val="clear" w:color="auto" w:fill="EDEBE0"/>
            <w:vAlign w:val="center"/>
          </w:tcPr>
          <w:p>
            <w:pPr>
              <w:rPr>
                <w:rFonts w:ascii="SimSun" w:hAnsi="SimSun" w:eastAsia="SimSun" w:cs="SimSun"/>
                <w:color w:val="000000"/>
                <w:sz w:val="22"/>
                <w:szCs w:val="22"/>
              </w:rPr>
            </w:pPr>
            <w:r>
              <w:rPr>
                <w:rFonts w:hint="eastAsia"/>
                <w:color w:val="000000"/>
                <w:sz w:val="22"/>
                <w:szCs w:val="22"/>
              </w:rPr>
              <w:t>水产苗种生产审批</w:t>
            </w:r>
          </w:p>
        </w:tc>
        <w:tc>
          <w:tcPr>
            <w:tcW w:w="825" w:type="dxa"/>
            <w:tcBorders>
              <w:top w:val="single" w:color="auto" w:sz="4" w:space="0"/>
            </w:tcBorders>
            <w:shd w:val="clear" w:color="auto" w:fill="EDEBE0"/>
          </w:tcPr>
          <w:p>
            <w:pPr>
              <w:rPr>
                <w:sz w:val="2"/>
                <w:szCs w:val="2"/>
              </w:rPr>
            </w:pPr>
            <w:bookmarkStart w:id="0" w:name="_GoBack"/>
            <w:bookmarkEnd w:id="0"/>
          </w:p>
        </w:tc>
        <w:tc>
          <w:tcPr>
            <w:tcW w:w="2250" w:type="dxa"/>
            <w:shd w:val="clear" w:color="auto" w:fill="EDEBE0"/>
          </w:tcPr>
          <w:p>
            <w:pPr>
              <w:pStyle w:val="11"/>
              <w:spacing w:before="41"/>
              <w:ind w:left="53" w:right="82"/>
              <w:jc w:val="left"/>
              <w:rPr>
                <w:rFonts w:hint="eastAsia" w:asciiTheme="minorEastAsia" w:hAnsiTheme="minorEastAsia"/>
                <w:color w:val="333333"/>
                <w:kern w:val="0"/>
                <w:sz w:val="15"/>
                <w:szCs w:val="15"/>
              </w:rPr>
            </w:pPr>
            <w:r>
              <w:rPr>
                <w:rFonts w:hint="eastAsia" w:asciiTheme="minorEastAsia" w:hAnsiTheme="minorEastAsia"/>
                <w:color w:val="333333"/>
                <w:kern w:val="0"/>
                <w:sz w:val="15"/>
                <w:szCs w:val="15"/>
              </w:rPr>
              <w:t>1.水产苗种生产许可证申请表</w:t>
            </w:r>
          </w:p>
          <w:p>
            <w:pPr>
              <w:pStyle w:val="11"/>
              <w:spacing w:before="41"/>
              <w:ind w:left="53" w:right="82"/>
              <w:jc w:val="left"/>
              <w:rPr>
                <w:sz w:val="15"/>
              </w:rPr>
            </w:pPr>
            <w:r>
              <w:rPr>
                <w:rFonts w:hint="eastAsia"/>
                <w:sz w:val="15"/>
                <w:szCs w:val="15"/>
                <w:lang w:val="en-US"/>
              </w:rPr>
              <w:t>2.办理流程图</w:t>
            </w:r>
          </w:p>
        </w:tc>
        <w:tc>
          <w:tcPr>
            <w:tcW w:w="2268" w:type="dxa"/>
          </w:tcPr>
          <w:p>
            <w:pPr>
              <w:pStyle w:val="11"/>
              <w:spacing w:before="41" w:line="300" w:lineRule="auto"/>
              <w:ind w:left="106" w:right="98"/>
              <w:rPr>
                <w:sz w:val="15"/>
              </w:rPr>
            </w:pPr>
            <w:r>
              <w:rPr>
                <w:rFonts w:hint="eastAsia" w:asciiTheme="minorEastAsia" w:hAnsiTheme="minorEastAsia" w:eastAsiaTheme="minorEastAsia"/>
                <w:color w:val="333333"/>
                <w:sz w:val="15"/>
                <w:szCs w:val="15"/>
                <w:shd w:val="clear" w:color="auto" w:fill="FFFFFF"/>
              </w:rPr>
              <w:t>《中华人民共和国渔业法》（1986年1月20日主席令第三十四号，2013年12月28日予以修改）第十六条第三款：水产苗种的生产由县级以上地方人民政府渔业行政主管部门审批。但是，渔业生产者自育、自用水产苗种的除外。 《水产苗种管理办法》（2005年1月5日农业部令第46号）第十一条：单位和个人从事水产苗种生产，应当经县级以上地方人民政府渔业行政主管部门批准，取得水产苗种生产许可证。但是，渔业生产者自育、自用水产苗种的除外。</w:t>
            </w:r>
          </w:p>
        </w:tc>
        <w:tc>
          <w:tcPr>
            <w:tcW w:w="1559" w:type="dxa"/>
            <w:vAlign w:val="center"/>
          </w:tcPr>
          <w:p>
            <w:pPr>
              <w:pStyle w:val="11"/>
              <w:spacing w:before="42"/>
              <w:jc w:val="center"/>
              <w:rPr>
                <w:sz w:val="22"/>
                <w:szCs w:val="22"/>
              </w:rPr>
            </w:pPr>
            <w:r>
              <w:rPr>
                <w:rFonts w:hint="eastAsia"/>
                <w:sz w:val="22"/>
                <w:szCs w:val="22"/>
              </w:rPr>
              <w:t>长期</w:t>
            </w:r>
          </w:p>
        </w:tc>
        <w:tc>
          <w:tcPr>
            <w:tcW w:w="851" w:type="dxa"/>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8"/>
              <w:ind w:left="107"/>
              <w:jc w:val="left"/>
              <w:rPr>
                <w:sz w:val="15"/>
              </w:rPr>
            </w:pPr>
            <w:r>
              <w:rPr>
                <w:sz w:val="15"/>
              </w:rPr>
              <w:t>□两微一端</w:t>
            </w:r>
            <w:r>
              <w:rPr>
                <w:sz w:val="15"/>
              </w:rPr>
              <w:tab/>
            </w:r>
            <w:r>
              <w:rPr>
                <w:sz w:val="15"/>
              </w:rPr>
              <w:t>□发布会听证会</w:t>
            </w:r>
          </w:p>
          <w:p>
            <w:pPr>
              <w:pStyle w:val="11"/>
              <w:tabs>
                <w:tab w:val="left" w:pos="1157"/>
              </w:tabs>
              <w:spacing w:before="48"/>
              <w:ind w:left="108"/>
              <w:rPr>
                <w:sz w:val="15"/>
              </w:rPr>
            </w:pPr>
            <w:r>
              <w:rPr>
                <w:sz w:val="15"/>
              </w:rPr>
              <w:t>□广播电视</w:t>
            </w:r>
            <w:r>
              <w:rPr>
                <w:sz w:val="15"/>
              </w:rPr>
              <w:tab/>
            </w:r>
            <w:r>
              <w:rPr>
                <w:sz w:val="15"/>
              </w:rPr>
              <w:t>□纸质媒体</w:t>
            </w:r>
          </w:p>
          <w:p>
            <w:pPr>
              <w:pStyle w:val="11"/>
              <w:tabs>
                <w:tab w:val="left" w:pos="259"/>
              </w:tabs>
              <w:spacing w:before="48"/>
              <w:ind w:left="107"/>
              <w:jc w:val="left"/>
              <w:rPr>
                <w:sz w:val="15"/>
              </w:rPr>
            </w:pPr>
            <w:r>
              <w:rPr>
                <w:sz w:val="15"/>
              </w:rPr>
              <w:t xml:space="preserve">□公开查阅点 </w:t>
            </w:r>
            <w:r>
              <w:rPr>
                <w:rFonts w:hint="eastAsia"/>
                <w:sz w:val="15"/>
                <w:lang w:val="en-US"/>
              </w:rPr>
              <w:t xml:space="preserve"> </w:t>
            </w:r>
            <w:r>
              <w:rPr>
                <w:sz w:val="15"/>
              </w:rPr>
              <w:t>□政务服务中心</w:t>
            </w:r>
          </w:p>
          <w:p>
            <w:pPr>
              <w:pStyle w:val="11"/>
              <w:tabs>
                <w:tab w:val="left" w:pos="259"/>
              </w:tabs>
              <w:spacing w:before="48"/>
              <w:ind w:left="107"/>
              <w:jc w:val="left"/>
              <w:rPr>
                <w:sz w:val="15"/>
              </w:rPr>
            </w:pPr>
            <w:r>
              <w:rPr>
                <w:sz w:val="15"/>
              </w:rPr>
              <w:t xml:space="preserve">□便民服务站 </w:t>
            </w:r>
            <w:r>
              <w:rPr>
                <w:rFonts w:hint="eastAsia"/>
                <w:sz w:val="15"/>
                <w:lang w:val="en-US"/>
              </w:rPr>
              <w:t xml:space="preserve"> </w:t>
            </w:r>
            <w:r>
              <w:rPr>
                <w:sz w:val="15"/>
              </w:rPr>
              <w:t>□入户/现场</w:t>
            </w:r>
          </w:p>
          <w:p>
            <w:pPr>
              <w:pStyle w:val="11"/>
              <w:spacing w:before="47"/>
              <w:ind w:left="108"/>
              <w:rPr>
                <w:sz w:val="15"/>
              </w:rPr>
            </w:pPr>
            <w:r>
              <w:rPr>
                <w:sz w:val="15"/>
              </w:rPr>
              <w:t>□社区/企事业单位/村公示栏（电子屏）</w:t>
            </w:r>
          </w:p>
          <w:p>
            <w:pPr>
              <w:pStyle w:val="11"/>
              <w:tabs>
                <w:tab w:val="left" w:pos="1157"/>
              </w:tabs>
              <w:spacing w:before="47" w:line="178" w:lineRule="exact"/>
              <w:ind w:left="108"/>
              <w:rPr>
                <w:sz w:val="15"/>
              </w:rPr>
            </w:pPr>
            <w:r>
              <w:rPr>
                <w:sz w:val="15"/>
              </w:rPr>
              <w:t>□精准推送</w:t>
            </w:r>
            <w:r>
              <w:rPr>
                <w:sz w:val="15"/>
              </w:rPr>
              <w:tab/>
            </w:r>
            <w:r>
              <w:rPr>
                <w:sz w:val="15"/>
              </w:rPr>
              <w:t>□投资项目在线审批监管平台</w:t>
            </w:r>
          </w:p>
        </w:tc>
        <w:tc>
          <w:tcPr>
            <w:tcW w:w="850" w:type="dxa"/>
            <w:vAlign w:val="center"/>
          </w:tcPr>
          <w:p>
            <w:pPr>
              <w:pStyle w:val="11"/>
              <w:ind w:left="6"/>
              <w:jc w:val="center"/>
              <w:rPr>
                <w:rFonts w:ascii="FangSong" w:hAnsi="FangSong"/>
                <w:sz w:val="30"/>
              </w:rPr>
            </w:pPr>
            <w:r>
              <w:rPr>
                <w:rFonts w:hint="eastAsia" w:ascii="FangSong" w:hAnsi="FangSong"/>
                <w:sz w:val="30"/>
              </w:rPr>
              <w:t>√</w:t>
            </w:r>
          </w:p>
        </w:tc>
        <w:tc>
          <w:tcPr>
            <w:tcW w:w="709" w:type="dxa"/>
            <w:vAlign w:val="center"/>
          </w:tcPr>
          <w:p>
            <w:pPr>
              <w:pStyle w:val="11"/>
              <w:jc w:val="center"/>
              <w:rPr>
                <w:rFonts w:ascii="Times New Roman"/>
                <w:sz w:val="14"/>
              </w:rPr>
            </w:pPr>
          </w:p>
        </w:tc>
        <w:tc>
          <w:tcPr>
            <w:tcW w:w="709" w:type="dxa"/>
            <w:vAlign w:val="center"/>
          </w:tcPr>
          <w:p>
            <w:pPr>
              <w:pStyle w:val="11"/>
              <w:ind w:left="6"/>
              <w:jc w:val="center"/>
              <w:rPr>
                <w:rFonts w:ascii="FangSong" w:hAnsi="FangSong"/>
                <w:sz w:val="30"/>
              </w:rPr>
            </w:pPr>
            <w:r>
              <w:rPr>
                <w:rFonts w:hint="eastAsia" w:ascii="FangSong" w:hAnsi="FangSong"/>
                <w:sz w:val="30"/>
              </w:rPr>
              <w:t>√</w:t>
            </w:r>
          </w:p>
        </w:tc>
        <w:tc>
          <w:tcPr>
            <w:tcW w:w="815" w:type="dxa"/>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shd w:val="clear" w:color="auto" w:fill="EDEBE0"/>
            <w:vAlign w:val="center"/>
          </w:tcPr>
          <w:p>
            <w:pPr>
              <w:pStyle w:val="11"/>
              <w:spacing w:before="51"/>
              <w:ind w:left="106"/>
              <w:jc w:val="center"/>
              <w:rPr>
                <w:rFonts w:hint="eastAsia" w:ascii="Times New Roman" w:eastAsia="SimSun"/>
                <w:sz w:val="20"/>
                <w:szCs w:val="20"/>
                <w:lang w:eastAsia="zh-CN"/>
              </w:rPr>
            </w:pPr>
            <w:r>
              <w:rPr>
                <w:rFonts w:hint="eastAsia" w:ascii="Times New Roman"/>
                <w:sz w:val="20"/>
                <w:szCs w:val="20"/>
                <w:lang w:val="en-US" w:eastAsia="zh-CN"/>
              </w:rPr>
              <w:t>3</w:t>
            </w:r>
          </w:p>
        </w:tc>
        <w:tc>
          <w:tcPr>
            <w:tcW w:w="720" w:type="dxa"/>
            <w:shd w:val="clear" w:color="auto" w:fill="EDEBE0"/>
            <w:vAlign w:val="center"/>
          </w:tcPr>
          <w:p>
            <w:pPr>
              <w:rPr>
                <w:rFonts w:ascii="SimSun" w:hAnsi="SimSun" w:eastAsia="SimSun" w:cs="SimSun"/>
                <w:color w:val="000000"/>
                <w:sz w:val="22"/>
                <w:szCs w:val="22"/>
              </w:rPr>
            </w:pPr>
            <w:r>
              <w:rPr>
                <w:rFonts w:hint="eastAsia"/>
                <w:color w:val="000000"/>
                <w:sz w:val="22"/>
                <w:szCs w:val="22"/>
              </w:rPr>
              <w:t>水域滩涂养殖证的审核</w:t>
            </w:r>
          </w:p>
        </w:tc>
        <w:tc>
          <w:tcPr>
            <w:tcW w:w="825" w:type="dxa"/>
            <w:shd w:val="clear" w:color="auto" w:fill="EDEBE0"/>
          </w:tcPr>
          <w:p>
            <w:pPr>
              <w:pStyle w:val="11"/>
              <w:spacing w:before="41" w:line="300" w:lineRule="auto"/>
              <w:ind w:left="108" w:right="97"/>
              <w:rPr>
                <w:sz w:val="15"/>
              </w:rPr>
            </w:pPr>
          </w:p>
        </w:tc>
        <w:tc>
          <w:tcPr>
            <w:tcW w:w="2250" w:type="dxa"/>
            <w:shd w:val="clear" w:color="auto" w:fill="EDEBE0"/>
          </w:tcPr>
          <w:p>
            <w:pPr>
              <w:pStyle w:val="11"/>
              <w:numPr>
                <w:ilvl w:val="0"/>
                <w:numId w:val="1"/>
              </w:numPr>
              <w:spacing w:before="41" w:line="300" w:lineRule="auto"/>
              <w:ind w:right="98"/>
              <w:rPr>
                <w:rFonts w:hint="eastAsia"/>
                <w:sz w:val="15"/>
              </w:rPr>
            </w:pPr>
            <w:r>
              <w:rPr>
                <w:rFonts w:hint="eastAsia"/>
                <w:sz w:val="15"/>
              </w:rPr>
              <w:t>水域滩涂养殖证申请表</w:t>
            </w:r>
          </w:p>
          <w:p>
            <w:pPr>
              <w:pStyle w:val="11"/>
              <w:spacing w:before="41" w:line="300" w:lineRule="auto"/>
              <w:ind w:left="106" w:right="98"/>
              <w:rPr>
                <w:sz w:val="15"/>
              </w:rPr>
            </w:pPr>
            <w:r>
              <w:rPr>
                <w:rFonts w:hint="eastAsia"/>
                <w:sz w:val="15"/>
                <w:szCs w:val="15"/>
                <w:lang w:val="en-US" w:eastAsia="zh-CN"/>
              </w:rPr>
              <w:t>2.</w:t>
            </w:r>
            <w:r>
              <w:rPr>
                <w:rFonts w:hint="eastAsia"/>
                <w:sz w:val="15"/>
                <w:szCs w:val="15"/>
                <w:lang w:val="en-US"/>
              </w:rPr>
              <w:t>办理流程图</w:t>
            </w:r>
          </w:p>
        </w:tc>
        <w:tc>
          <w:tcPr>
            <w:tcW w:w="2268" w:type="dxa"/>
          </w:tcPr>
          <w:p>
            <w:pPr>
              <w:pStyle w:val="11"/>
              <w:spacing w:before="41" w:line="300" w:lineRule="auto"/>
              <w:ind w:left="106" w:right="98"/>
              <w:rPr>
                <w:sz w:val="15"/>
              </w:rPr>
            </w:pPr>
            <w:r>
              <w:rPr>
                <w:rFonts w:hint="eastAsia" w:asciiTheme="minorEastAsia" w:hAnsiTheme="minorEastAsia" w:eastAsiaTheme="minorEastAsia"/>
                <w:color w:val="333333"/>
                <w:sz w:val="15"/>
                <w:szCs w:val="15"/>
                <w:shd w:val="clear" w:color="auto" w:fill="FFFFFF"/>
              </w:rPr>
              <w:t>【法律】《中华人民共和国渔业法》（1986年1月20日主席令第三十四号，2013年12月28日予以修改） 第十一条 单位和个人使用国家规划确定用于养殖业的全民所有的水域、滩涂的，使用者应当向县级以上地方人民政府渔业行政主管部门提出申请，由本级人民政府核发养殖证，许可其使用该水域、滩涂从事养殖生产。 【规章】《水域滩涂养殖发证登记办法》（2010年5月24日农业部令2010年第9号公布 自2010年7月1日起施行） 第三条 使用水域、滩涂从事养殖生产，由县级以上地方人民政府核发养殖证，确认水域滩涂养殖权。县级以上地方人民政府渔业行政主管部门负责水域、滩涂养殖发证登记具体工作，并建立登记簿，记载养殖证载明的事项。【规范性文件】《辽宁省人民政府关于取消和下放一批行政审批项目的决定》（辽政发〔2014〕30号） “水域滩涂养殖证的审核（省属水库除外）”下放至县级渔业行政主管部门。【规范性文件】《辽宁省人民政府关于取消调整一批行政职权事项的通知》（辽政发〔2016〕48号） “省属水库水域滩涂养殖使用证审核”下放至市级（含绥中、昌图县）渔业行政主管部门。</w:t>
            </w:r>
          </w:p>
        </w:tc>
        <w:tc>
          <w:tcPr>
            <w:tcW w:w="1559" w:type="dxa"/>
            <w:vAlign w:val="center"/>
          </w:tcPr>
          <w:p>
            <w:pPr>
              <w:pStyle w:val="11"/>
              <w:spacing w:before="42"/>
              <w:jc w:val="center"/>
              <w:rPr>
                <w:sz w:val="22"/>
                <w:szCs w:val="22"/>
              </w:rPr>
            </w:pPr>
            <w:r>
              <w:rPr>
                <w:rFonts w:hint="eastAsia"/>
                <w:sz w:val="22"/>
                <w:szCs w:val="22"/>
              </w:rPr>
              <w:t>长期</w:t>
            </w:r>
          </w:p>
        </w:tc>
        <w:tc>
          <w:tcPr>
            <w:tcW w:w="851" w:type="dxa"/>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8"/>
              <w:ind w:left="107"/>
              <w:jc w:val="left"/>
              <w:rPr>
                <w:sz w:val="15"/>
              </w:rPr>
            </w:pPr>
            <w:r>
              <w:rPr>
                <w:sz w:val="15"/>
              </w:rPr>
              <w:t>□两微一端</w:t>
            </w:r>
            <w:r>
              <w:rPr>
                <w:sz w:val="15"/>
              </w:rPr>
              <w:tab/>
            </w:r>
            <w:r>
              <w:rPr>
                <w:sz w:val="15"/>
              </w:rPr>
              <w:t>□发布会听证会</w:t>
            </w:r>
          </w:p>
          <w:p>
            <w:pPr>
              <w:pStyle w:val="11"/>
              <w:tabs>
                <w:tab w:val="left" w:pos="1157"/>
              </w:tabs>
              <w:spacing w:before="48"/>
              <w:ind w:left="108"/>
              <w:rPr>
                <w:sz w:val="15"/>
              </w:rPr>
            </w:pPr>
            <w:r>
              <w:rPr>
                <w:sz w:val="15"/>
              </w:rPr>
              <w:t>□广播电视</w:t>
            </w:r>
            <w:r>
              <w:rPr>
                <w:sz w:val="15"/>
              </w:rPr>
              <w:tab/>
            </w:r>
            <w:r>
              <w:rPr>
                <w:sz w:val="15"/>
              </w:rPr>
              <w:t>□纸质媒体</w:t>
            </w:r>
          </w:p>
          <w:p>
            <w:pPr>
              <w:pStyle w:val="11"/>
              <w:tabs>
                <w:tab w:val="left" w:pos="259"/>
              </w:tabs>
              <w:spacing w:before="48"/>
              <w:ind w:left="107"/>
              <w:jc w:val="left"/>
              <w:rPr>
                <w:sz w:val="15"/>
              </w:rPr>
            </w:pPr>
            <w:r>
              <w:rPr>
                <w:sz w:val="15"/>
              </w:rPr>
              <w:t xml:space="preserve">□公开查阅点 </w:t>
            </w:r>
            <w:r>
              <w:rPr>
                <w:rFonts w:hint="eastAsia"/>
                <w:sz w:val="15"/>
                <w:lang w:val="en-US"/>
              </w:rPr>
              <w:t xml:space="preserve"> </w:t>
            </w:r>
            <w:r>
              <w:rPr>
                <w:sz w:val="15"/>
              </w:rPr>
              <w:t>□政务服务中心</w:t>
            </w:r>
          </w:p>
          <w:p>
            <w:pPr>
              <w:pStyle w:val="11"/>
              <w:tabs>
                <w:tab w:val="left" w:pos="259"/>
              </w:tabs>
              <w:spacing w:before="48"/>
              <w:ind w:left="107"/>
              <w:jc w:val="left"/>
              <w:rPr>
                <w:sz w:val="15"/>
              </w:rPr>
            </w:pPr>
            <w:r>
              <w:rPr>
                <w:sz w:val="15"/>
              </w:rPr>
              <w:t xml:space="preserve">□便民服务站 </w:t>
            </w:r>
            <w:r>
              <w:rPr>
                <w:rFonts w:hint="eastAsia"/>
                <w:sz w:val="15"/>
                <w:lang w:val="en-US"/>
              </w:rPr>
              <w:t xml:space="preserve"> </w:t>
            </w:r>
            <w:r>
              <w:rPr>
                <w:sz w:val="15"/>
              </w:rPr>
              <w:t>□入户/现场</w:t>
            </w:r>
          </w:p>
          <w:p>
            <w:pPr>
              <w:pStyle w:val="11"/>
              <w:spacing w:before="47"/>
              <w:ind w:left="108"/>
              <w:rPr>
                <w:sz w:val="15"/>
              </w:rPr>
            </w:pPr>
            <w:r>
              <w:rPr>
                <w:sz w:val="15"/>
              </w:rPr>
              <w:t>□社区/企事业单位/村公示栏（电子屏）</w:t>
            </w:r>
          </w:p>
          <w:p>
            <w:pPr>
              <w:pStyle w:val="11"/>
              <w:tabs>
                <w:tab w:val="left" w:pos="1157"/>
              </w:tabs>
              <w:spacing w:before="48" w:line="177" w:lineRule="exact"/>
              <w:ind w:left="108"/>
              <w:rPr>
                <w:sz w:val="15"/>
              </w:rPr>
            </w:pPr>
            <w:r>
              <w:rPr>
                <w:sz w:val="15"/>
              </w:rPr>
              <w:t>□精准推送</w:t>
            </w:r>
            <w:r>
              <w:rPr>
                <w:sz w:val="15"/>
              </w:rPr>
              <w:tab/>
            </w:r>
            <w:r>
              <w:rPr>
                <w:sz w:val="15"/>
              </w:rPr>
              <w:t>□投资项目在线审批监管平台</w:t>
            </w:r>
          </w:p>
        </w:tc>
        <w:tc>
          <w:tcPr>
            <w:tcW w:w="850" w:type="dxa"/>
            <w:vAlign w:val="center"/>
          </w:tcPr>
          <w:p>
            <w:pPr>
              <w:pStyle w:val="11"/>
              <w:ind w:left="6"/>
              <w:jc w:val="center"/>
              <w:rPr>
                <w:rFonts w:ascii="FangSong" w:hAnsi="FangSong"/>
                <w:sz w:val="30"/>
              </w:rPr>
            </w:pPr>
            <w:r>
              <w:rPr>
                <w:rFonts w:hint="eastAsia" w:ascii="FangSong" w:hAnsi="FangSong"/>
                <w:sz w:val="30"/>
              </w:rPr>
              <w:t>√</w:t>
            </w:r>
          </w:p>
        </w:tc>
        <w:tc>
          <w:tcPr>
            <w:tcW w:w="709" w:type="dxa"/>
            <w:vAlign w:val="center"/>
          </w:tcPr>
          <w:p>
            <w:pPr>
              <w:pStyle w:val="11"/>
              <w:jc w:val="center"/>
              <w:rPr>
                <w:rFonts w:ascii="Times New Roman"/>
                <w:sz w:val="14"/>
              </w:rPr>
            </w:pPr>
          </w:p>
        </w:tc>
        <w:tc>
          <w:tcPr>
            <w:tcW w:w="709" w:type="dxa"/>
            <w:vAlign w:val="center"/>
          </w:tcPr>
          <w:p>
            <w:pPr>
              <w:pStyle w:val="11"/>
              <w:ind w:left="6"/>
              <w:jc w:val="center"/>
              <w:rPr>
                <w:rFonts w:ascii="FangSong" w:hAnsi="FangSong"/>
                <w:sz w:val="30"/>
              </w:rPr>
            </w:pPr>
            <w:r>
              <w:rPr>
                <w:rFonts w:hint="eastAsia" w:ascii="FangSong" w:hAnsi="FangSong"/>
                <w:sz w:val="30"/>
              </w:rPr>
              <w:t>√</w:t>
            </w:r>
          </w:p>
        </w:tc>
        <w:tc>
          <w:tcPr>
            <w:tcW w:w="815" w:type="dxa"/>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eastAsia" w:ascii="Times New Roman" w:eastAsia="SimSun"/>
                <w:sz w:val="20"/>
                <w:szCs w:val="20"/>
                <w:lang w:eastAsia="zh-CN"/>
              </w:rPr>
            </w:pPr>
            <w:r>
              <w:rPr>
                <w:rFonts w:hint="eastAsia" w:ascii="Times New Roman"/>
                <w:sz w:val="20"/>
                <w:szCs w:val="20"/>
                <w:lang w:val="en-US" w:eastAsia="zh-CN"/>
              </w:rPr>
              <w:t>4</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向无规定动物疫病区输入易感动物、动物产品的检疫申报</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numPr>
                <w:ilvl w:val="0"/>
                <w:numId w:val="2"/>
              </w:numPr>
              <w:spacing w:before="41" w:line="300" w:lineRule="auto"/>
              <w:ind w:left="106" w:right="98"/>
              <w:rPr>
                <w:rFonts w:hint="eastAsia"/>
                <w:sz w:val="15"/>
                <w:lang w:val="en-US" w:eastAsia="zh-CN"/>
              </w:rPr>
            </w:pPr>
            <w:r>
              <w:rPr>
                <w:rFonts w:hint="eastAsia"/>
                <w:sz w:val="15"/>
                <w:lang w:val="en-US" w:eastAsia="zh-CN"/>
              </w:rPr>
              <w:t>检疫申报申请</w:t>
            </w:r>
          </w:p>
          <w:p>
            <w:pPr>
              <w:pStyle w:val="11"/>
              <w:spacing w:before="41" w:line="300" w:lineRule="auto"/>
              <w:ind w:left="106" w:right="98"/>
              <w:rPr>
                <w:sz w:val="15"/>
              </w:rPr>
            </w:pPr>
            <w:r>
              <w:rPr>
                <w:rFonts w:hint="eastAsia"/>
                <w:sz w:val="15"/>
                <w:lang w:val="en-US" w:eastAsia="zh-CN"/>
              </w:rPr>
              <w:t>2.办理流程图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rFonts w:hint="eastAsia"/>
                <w:sz w:val="15"/>
              </w:rPr>
            </w:pPr>
            <w:r>
              <w:rPr>
                <w:rFonts w:hint="eastAsia"/>
                <w:sz w:val="15"/>
              </w:rPr>
              <w:t>【地方性法规】《辽宁省无规定动物疫病区管理办法》（本办法自2011年2月20日起施行）第二十八条　屠宰、出售、运输的动物或者经营、运输的动物产品，应当经所在地县动物卫生监督机构的官方兽医检疫合格，并取得《动物检疫合格证明》后，方可离开产地。</w:t>
            </w:r>
          </w:p>
          <w:p>
            <w:pPr>
              <w:pStyle w:val="11"/>
              <w:spacing w:before="41" w:line="300" w:lineRule="auto"/>
              <w:ind w:left="106" w:right="98"/>
              <w:rPr>
                <w:rFonts w:hint="eastAsia"/>
                <w:sz w:val="15"/>
              </w:rPr>
            </w:pPr>
            <w:r>
              <w:rPr>
                <w:rFonts w:hint="eastAsia"/>
                <w:sz w:val="15"/>
              </w:rPr>
              <w:t>种用、乳用动物在实施检疫时，应当同时查验动物疫病检测报告，未经检测或者检测不合格的，不予出具《动物检疫合格证明》。</w:t>
            </w:r>
          </w:p>
          <w:p>
            <w:pPr>
              <w:pStyle w:val="11"/>
              <w:spacing w:before="41" w:line="300" w:lineRule="auto"/>
              <w:ind w:left="106" w:right="98"/>
              <w:rPr>
                <w:rFonts w:hint="eastAsia"/>
                <w:sz w:val="15"/>
              </w:rPr>
            </w:pPr>
            <w:r>
              <w:rPr>
                <w:rFonts w:hint="eastAsia"/>
                <w:sz w:val="15"/>
              </w:rPr>
              <w:t>第二十九条　屠宰、经营、运输的猪、牛、羊等动物，应当附有《动物检疫合格证明》，并佩戴畜禽标识；经营、运输的动物产品应当附有《动物检疫合格证明》，加施检疫标志。</w:t>
            </w:r>
          </w:p>
          <w:p>
            <w:pPr>
              <w:pStyle w:val="11"/>
              <w:spacing w:before="41" w:line="300" w:lineRule="auto"/>
              <w:ind w:left="106" w:right="98"/>
              <w:rPr>
                <w:rFonts w:hint="eastAsia"/>
                <w:sz w:val="15"/>
              </w:rPr>
            </w:pPr>
          </w:p>
          <w:p>
            <w:pPr>
              <w:pStyle w:val="11"/>
              <w:spacing w:before="41" w:line="300" w:lineRule="auto"/>
              <w:ind w:left="106" w:right="98"/>
              <w:rPr>
                <w:sz w:val="15"/>
              </w:rPr>
            </w:pPr>
            <w:r>
              <w:rPr>
                <w:rFonts w:hint="eastAsia"/>
                <w:sz w:val="15"/>
              </w:rPr>
              <w:t>第三十四条　禁止饲养、屠宰、运输、经营应当检疫而未经检疫的动物和生产、经营、加工、贮藏、运输应当检疫而未经检疫的动物产品。</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5</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动物及动物产品检疫合格证核发</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numPr>
                <w:ilvl w:val="0"/>
                <w:numId w:val="3"/>
              </w:numPr>
              <w:spacing w:before="41" w:line="300" w:lineRule="auto"/>
              <w:ind w:left="106" w:right="98"/>
              <w:rPr>
                <w:rFonts w:hint="eastAsia"/>
                <w:sz w:val="15"/>
                <w:lang w:val="en-US" w:eastAsia="zh-CN"/>
              </w:rPr>
            </w:pPr>
            <w:r>
              <w:rPr>
                <w:rFonts w:hint="eastAsia"/>
                <w:sz w:val="15"/>
                <w:lang w:val="en-US" w:eastAsia="zh-CN"/>
              </w:rPr>
              <w:t>《动物产品检疫合格证》申请</w:t>
            </w:r>
          </w:p>
          <w:p>
            <w:pPr>
              <w:pStyle w:val="11"/>
              <w:spacing w:before="41" w:line="300" w:lineRule="auto"/>
              <w:ind w:left="106" w:right="98"/>
              <w:rPr>
                <w:sz w:val="15"/>
              </w:rPr>
            </w:pPr>
            <w:r>
              <w:rPr>
                <w:rFonts w:hint="eastAsia"/>
                <w:sz w:val="15"/>
                <w:lang w:val="en-US" w:eastAsia="zh-CN"/>
              </w:rPr>
              <w:t>2.办理流程图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rFonts w:hint="eastAsia"/>
                <w:sz w:val="15"/>
              </w:rPr>
            </w:pPr>
            <w:r>
              <w:rPr>
                <w:rFonts w:hint="eastAsia"/>
                <w:sz w:val="15"/>
              </w:rPr>
              <w:t>【法律】《中华人民共和国动物防疫法》（2015年4月24日修订）</w:t>
            </w:r>
          </w:p>
          <w:p>
            <w:pPr>
              <w:pStyle w:val="11"/>
              <w:spacing w:before="41" w:line="300" w:lineRule="auto"/>
              <w:ind w:left="106" w:right="98"/>
              <w:rPr>
                <w:sz w:val="15"/>
              </w:rPr>
            </w:pPr>
            <w:r>
              <w:rPr>
                <w:rFonts w:hint="eastAsia"/>
                <w:sz w:val="15"/>
              </w:rPr>
              <w:t>第三条 第四款 本法所称动物防疫，是指动物疫病的预防、控制、扑灭和动物、动物产品的检疫。第四十一条第一款动物卫生监督机构依照本法和国务院兽医主管部门的规定对动物、动物产品实施检疫。第四十二条屠宰、出售或者运输动物以及出售或者运输动物产品前，货主应当按照国务院兽医主管部门的规定向当地动物卫生监督机构申报检疫。动物卫生监督机构接到检疫申报后，应当及时指派官方兽医对动物、动物产品实施现场检疫；检疫合格的，出具检疫证明、加施检疫标志。实施现场检疫的官方兽医应当在检疫证明、检疫标志上签字或者盖章，并对检疫结论负责。</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6</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动物诊疗许可证核发</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numPr>
                <w:ilvl w:val="0"/>
                <w:numId w:val="4"/>
              </w:numPr>
              <w:spacing w:before="41" w:line="300" w:lineRule="auto"/>
              <w:ind w:left="106" w:right="98"/>
              <w:rPr>
                <w:rFonts w:hint="eastAsia"/>
                <w:sz w:val="15"/>
                <w:lang w:val="en-US" w:eastAsia="zh-CN"/>
              </w:rPr>
            </w:pPr>
            <w:r>
              <w:rPr>
                <w:rFonts w:hint="eastAsia"/>
                <w:sz w:val="15"/>
                <w:lang w:val="en-US" w:eastAsia="zh-CN"/>
              </w:rPr>
              <w:t>《动物诊疗许可证》申请书</w:t>
            </w:r>
          </w:p>
          <w:p>
            <w:pPr>
              <w:pStyle w:val="11"/>
              <w:spacing w:before="41" w:line="300" w:lineRule="auto"/>
              <w:ind w:left="106" w:right="98"/>
              <w:rPr>
                <w:sz w:val="15"/>
              </w:rPr>
            </w:pPr>
            <w:r>
              <w:rPr>
                <w:rFonts w:hint="eastAsia"/>
                <w:sz w:val="15"/>
                <w:lang w:val="en-US" w:eastAsia="zh-CN"/>
              </w:rPr>
              <w:t>2.办理流程图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sz w:val="15"/>
              </w:rPr>
              <w:t>【法律】《中华人民共和国动物防疫法》(2015年4月24日修订)  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申请人凭动物诊疗许可证向工商行政管理部门申请办理登记注册手续，取得营业执照后，方可从事动物诊疗活动。</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7</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动物防疫条件合格证核发</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numPr>
                <w:ilvl w:val="0"/>
                <w:numId w:val="0"/>
              </w:numPr>
              <w:spacing w:before="41" w:line="300" w:lineRule="auto"/>
              <w:ind w:right="98" w:rightChars="0"/>
              <w:jc w:val="left"/>
              <w:rPr>
                <w:rFonts w:hint="eastAsia"/>
                <w:sz w:val="15"/>
                <w:lang w:val="en-US" w:eastAsia="zh-CN"/>
              </w:rPr>
            </w:pPr>
            <w:r>
              <w:rPr>
                <w:rFonts w:hint="eastAsia"/>
                <w:sz w:val="15"/>
                <w:lang w:val="en-US" w:eastAsia="zh-CN"/>
              </w:rPr>
              <w:t>1.《动物防疫条件合格证》申请书</w:t>
            </w:r>
          </w:p>
          <w:p>
            <w:pPr>
              <w:pStyle w:val="11"/>
              <w:spacing w:before="41" w:line="300" w:lineRule="auto"/>
              <w:ind w:left="106" w:right="98"/>
              <w:jc w:val="left"/>
              <w:rPr>
                <w:sz w:val="15"/>
              </w:rPr>
            </w:pPr>
            <w:r>
              <w:rPr>
                <w:rFonts w:hint="eastAsia"/>
                <w:sz w:val="15"/>
                <w:lang w:val="en-US" w:eastAsia="zh-CN"/>
              </w:rPr>
              <w:t>2.办理流程图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sz w:val="15"/>
              </w:rPr>
              <w:t>【法律】《中华人民共和国动物防疫法》(2015年4月24日修订)                                                  第二十条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需要办理工商登记的，申请人凭动物防疫条件合格证向工商行政管理部门申请办理登记注册手续。</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8</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种畜禽生产经营许可</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numPr>
                <w:ilvl w:val="0"/>
                <w:numId w:val="0"/>
              </w:numPr>
              <w:spacing w:before="41" w:line="300" w:lineRule="auto"/>
              <w:ind w:right="98" w:rightChars="0"/>
              <w:rPr>
                <w:rFonts w:hint="eastAsia"/>
                <w:sz w:val="15"/>
                <w:lang w:val="en-US" w:eastAsia="zh-CN"/>
              </w:rPr>
            </w:pPr>
            <w:r>
              <w:rPr>
                <w:rFonts w:hint="eastAsia"/>
                <w:sz w:val="15"/>
                <w:lang w:val="en-US" w:eastAsia="zh-CN"/>
              </w:rPr>
              <w:t>1.《种畜禽生产经营许可证》申请书</w:t>
            </w:r>
          </w:p>
          <w:p>
            <w:pPr>
              <w:pStyle w:val="11"/>
              <w:spacing w:before="41" w:line="300" w:lineRule="auto"/>
              <w:ind w:left="106" w:right="98"/>
              <w:rPr>
                <w:sz w:val="15"/>
              </w:rPr>
            </w:pPr>
            <w:r>
              <w:rPr>
                <w:rFonts w:hint="eastAsia"/>
                <w:sz w:val="15"/>
                <w:lang w:val="en-US" w:eastAsia="zh-CN"/>
              </w:rPr>
              <w:t>2.办理流程图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rFonts w:hint="eastAsia"/>
                <w:sz w:val="15"/>
              </w:rPr>
            </w:pPr>
            <w:r>
              <w:rPr>
                <w:rFonts w:hint="eastAsia"/>
                <w:sz w:val="15"/>
              </w:rPr>
              <w:t>【法律】《中华人民共和国畜牧法》（2005年12月29日通过）    　                                                         第二十四条　申请取得生产家畜卵子、冷冻精液、胚胎等遗传材料的生产经营许可证，应当向省级人民政府畜牧兽医行政主管部门提出申请。受理申请的畜牧兽医行政主管部门应当自收到申请之日起三十个工作日内完成审核，并报国务院畜牧兽医行政主管部门审批；国务院畜牧兽医行政主管部门应当自收到申请之日起六十个工作日内依法决定是否发给生产经营许可证。</w:t>
            </w:r>
          </w:p>
          <w:p>
            <w:pPr>
              <w:pStyle w:val="11"/>
              <w:spacing w:before="41" w:line="300" w:lineRule="auto"/>
              <w:ind w:left="106" w:right="98"/>
              <w:rPr>
                <w:sz w:val="15"/>
              </w:rPr>
            </w:pPr>
            <w:r>
              <w:rPr>
                <w:rFonts w:hint="eastAsia"/>
                <w:sz w:val="15"/>
              </w:rPr>
              <w:t>　　其他种畜禽的生产经营许可证由县级以上地方人民政府畜牧兽医行政主管部门审核发放，具体审核发放办法由省级人民政府规定。</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生鲜乳准运证明核发</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6"/>
              <w:shd w:val="clear" w:color="auto" w:fill="FFFFFF"/>
              <w:spacing w:before="0" w:beforeAutospacing="0" w:after="0" w:afterAutospacing="0" w:line="553" w:lineRule="atLeast"/>
              <w:jc w:val="both"/>
              <w:rPr>
                <w:rFonts w:hint="eastAsia" w:ascii="FangSong" w:hAnsi="FangSong" w:eastAsia="FangSong"/>
                <w:sz w:val="18"/>
                <w:szCs w:val="18"/>
              </w:rPr>
            </w:pPr>
            <w:r>
              <w:rPr>
                <w:rFonts w:hint="eastAsia" w:ascii="FangSong" w:hAnsi="FangSong" w:eastAsia="FangSong"/>
                <w:sz w:val="18"/>
                <w:szCs w:val="18"/>
              </w:rPr>
              <w:t>申请条件；（一）奶罐隔热、保温，内壁由防腐蚀材料制造，对生鲜乳质量安全没有影响；（二）奶罐外壁用坚硬光滑、防腐、可冲洗的防水材料制造；</w:t>
            </w:r>
          </w:p>
          <w:p>
            <w:pPr>
              <w:pStyle w:val="6"/>
              <w:shd w:val="clear" w:color="auto" w:fill="FFFFFF"/>
              <w:spacing w:before="0" w:beforeAutospacing="0" w:after="0" w:afterAutospacing="0" w:line="553" w:lineRule="atLeast"/>
              <w:jc w:val="both"/>
              <w:rPr>
                <w:rFonts w:hint="eastAsia" w:ascii="FangSong" w:hAnsi="FangSong" w:eastAsia="FangSong"/>
                <w:sz w:val="18"/>
                <w:szCs w:val="18"/>
              </w:rPr>
            </w:pPr>
            <w:r>
              <w:rPr>
                <w:rFonts w:hint="eastAsia" w:ascii="FangSong" w:hAnsi="FangSong" w:eastAsia="FangSong"/>
                <w:sz w:val="18"/>
                <w:szCs w:val="18"/>
              </w:rPr>
              <w:t>（三）奶罐设有奶样存放舱和装备隔离箱，保持清洁卫生，避免尘土污染；（四）奶罐密封材料耐脂肪、无毒，在温度正常的情况下具有耐清洗剂的能力；（五）奶车顶盖装置、通气和防尘罩设计合理，防止奶罐和生鲜乳受到污染。</w:t>
            </w:r>
          </w:p>
          <w:p>
            <w:pPr>
              <w:pStyle w:val="11"/>
              <w:spacing w:before="41" w:line="300" w:lineRule="auto"/>
              <w:ind w:left="106" w:right="98"/>
              <w:rPr>
                <w:sz w:val="15"/>
              </w:rPr>
            </w:pP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FangSong" w:hAnsi="FangSong" w:eastAsia="FangSong"/>
                <w:szCs w:val="21"/>
              </w:rPr>
              <w:t>【</w:t>
            </w:r>
            <w:r>
              <w:rPr>
                <w:rFonts w:ascii="FangSong" w:hAnsi="FangSong" w:eastAsia="FangSong"/>
                <w:kern w:val="0"/>
                <w:sz w:val="18"/>
                <w:szCs w:val="18"/>
                <w:lang w:val="en-US" w:bidi="ar-SA"/>
              </w:rPr>
              <w:t>行政法规】</w:t>
            </w:r>
            <w:r>
              <w:rPr>
                <w:rFonts w:hint="eastAsia" w:ascii="FangSong" w:hAnsi="FangSong" w:eastAsia="FangSong"/>
                <w:kern w:val="0"/>
                <w:sz w:val="18"/>
                <w:szCs w:val="18"/>
                <w:lang w:val="en-US" w:bidi="ar-SA"/>
              </w:rPr>
              <w:t>《乳品质量安全监督管理条例》（2008年10月9日国务院令第536号）第二十五条：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生鲜乳收购站许可</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r>
              <w:rPr>
                <w:rFonts w:hint="eastAsia" w:ascii="FangSong" w:hAnsi="FangSong" w:eastAsia="FangSong"/>
                <w:kern w:val="0"/>
                <w:sz w:val="18"/>
                <w:szCs w:val="18"/>
                <w:lang w:val="en-US" w:bidi="ar-SA"/>
              </w:rPr>
              <w:t>申请条件：</w:t>
            </w:r>
            <w:r>
              <w:rPr>
                <w:rFonts w:ascii="FangSong" w:hAnsi="FangSong" w:eastAsia="FangSong"/>
                <w:kern w:val="0"/>
                <w:sz w:val="18"/>
                <w:szCs w:val="18"/>
                <w:lang w:val="en-US" w:bidi="ar-SA"/>
              </w:rPr>
              <w:t>（一）符合生鲜乳收购站建设规划布局；（二）有符合环保和卫生要求的收购场所；（三）有与收奶量相适应的冷却、冷藏、保鲜设施和低温运输设备；（四）有与检测项目相适应的化验、计量、检测仪器设备；（五）有经培训合格并持有有效健康证明的从业人员；（六）有卫生管理和质量安全保障制度。</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FangSong" w:hAnsi="FangSong" w:eastAsia="FangSong"/>
                <w:szCs w:val="21"/>
              </w:rPr>
              <w:t>【</w:t>
            </w:r>
            <w:r>
              <w:rPr>
                <w:rFonts w:ascii="FangSong" w:hAnsi="FangSong" w:eastAsia="FangSong"/>
                <w:kern w:val="0"/>
                <w:sz w:val="18"/>
                <w:szCs w:val="18"/>
                <w:lang w:val="en-US" w:bidi="ar-SA"/>
              </w:rPr>
              <w:t>行政法规】《乳品质量安全监督管理条例》（2008年10月9日中华人民共和国国务院令第536号公布）第二十条生鲜乳收购站应当由取得工商登记的乳制品生产企业、奶畜养殖场、奶农专业生产合作社开办</w:t>
            </w:r>
            <w:r>
              <w:rPr>
                <w:rFonts w:hint="eastAsia" w:ascii="FangSong" w:hAnsi="FangSong" w:eastAsia="FangSong"/>
                <w:kern w:val="0"/>
                <w:sz w:val="18"/>
                <w:szCs w:val="18"/>
                <w:lang w:val="en-US" w:bidi="ar-SA"/>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兽药经营许可证核发</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right="98"/>
              <w:rPr>
                <w:rFonts w:ascii="FangSong" w:hAnsi="FangSong" w:eastAsia="FangSong"/>
                <w:szCs w:val="21"/>
              </w:rPr>
            </w:pPr>
            <w:r>
              <w:rPr>
                <w:rFonts w:hint="eastAsia" w:ascii="FangSong" w:hAnsi="FangSong" w:eastAsia="FangSong"/>
                <w:szCs w:val="21"/>
              </w:rPr>
              <w:t>申请条件：</w:t>
            </w:r>
            <w:r>
              <w:rPr>
                <w:rFonts w:hint="eastAsia" w:ascii="FangSong" w:hAnsi="FangSong" w:eastAsia="FangSong"/>
                <w:color w:val="000000" w:themeColor="text1"/>
                <w:szCs w:val="21"/>
                <w:shd w:val="clear" w:color="auto" w:fill="FFFFFF"/>
              </w:rPr>
              <w:t>经营兽药的企业，应当具备下列条件: (一)与所经营的兽药相适应的兽药技术人员; (二)与所经营的兽药相适应的营业场所、设备、仓库设施; (三)与所经营的兽药相适应的质量管理机构或者人员; (四)兽药经营质量管理规范规定的其他经营条件。</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rFonts w:ascii="FangSong" w:hAnsi="FangSong" w:eastAsia="FangSong"/>
                <w:szCs w:val="21"/>
              </w:rPr>
            </w:pPr>
            <w:r>
              <w:rPr>
                <w:rFonts w:hint="eastAsia" w:ascii="FangSong" w:hAnsi="FangSong" w:eastAsia="FangSong"/>
                <w:szCs w:val="21"/>
              </w:rPr>
              <w:t>【行政法规】《中华人民共和国兽药管理条例》2004年4月9日中华人民共和国国务院令第404号公布 根据2016年2月6日发布的国务院令第666号《国务院关于修改部分行政法规的决定》第二次修正） 第二十二条 符合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农药经营许可</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r>
              <w:rPr>
                <w:rFonts w:hint="eastAsia"/>
                <w:sz w:val="15"/>
                <w:szCs w:val="15"/>
                <w:lang w:val="en-US" w:eastAsia="zh-CN"/>
              </w:rPr>
              <w:t>申请书、流程图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SimSun" w:hAnsi="SimSun" w:eastAsia="SimSun" w:cs="SimSun"/>
                <w:i w:val="0"/>
                <w:color w:val="000000"/>
                <w:kern w:val="0"/>
                <w:sz w:val="15"/>
                <w:szCs w:val="15"/>
                <w:u w:val="none"/>
                <w:lang w:val="en-US" w:eastAsia="zh-CN" w:bidi="ar"/>
              </w:rPr>
              <w:t>依据：中华人民共和国国务院令第677号《农药管理条例》第二十四条 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水产苗种产地检疫</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rFonts w:hint="eastAsia"/>
                <w:sz w:val="15"/>
              </w:rPr>
            </w:pPr>
            <w:r>
              <w:rPr>
                <w:rFonts w:hint="eastAsia"/>
                <w:sz w:val="15"/>
              </w:rPr>
              <w:t>1.检疫申报单</w:t>
            </w:r>
          </w:p>
          <w:p>
            <w:pPr>
              <w:pStyle w:val="11"/>
              <w:spacing w:before="41" w:line="300" w:lineRule="auto"/>
              <w:ind w:left="106" w:right="98"/>
              <w:rPr>
                <w:sz w:val="15"/>
              </w:rPr>
            </w:pPr>
            <w:r>
              <w:rPr>
                <w:rFonts w:hint="eastAsia"/>
                <w:sz w:val="15"/>
                <w:lang w:val="en-US"/>
              </w:rPr>
              <w:t>2.办理流程图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Theme="minorEastAsia" w:hAnsiTheme="minorEastAsia" w:eastAsiaTheme="minorEastAsia"/>
                <w:color w:val="333333"/>
                <w:sz w:val="15"/>
                <w:szCs w:val="15"/>
                <w:shd w:val="clear" w:color="auto" w:fill="FFFFFF"/>
              </w:rPr>
              <w:t>《中华人民共和国动物防疫法》（1997年7月3日主席令第八十七号，2015年4月24日予以修改）第八条：县级以上地方人民政府设立的动物卫生监督机构依照本法规定，负责动物、动物产品的检疫工作和其他有关动物防疫的监督管理执法工作。第四十二条：屠宰、出售或者运输动物以及出售或者运输动物产品前，货主应当按照国务院兽医主管部门的规定向当地动物卫生监督机构申报检疫。 《水产苗种管理办法》（2005年1月5日农业部令第46号）第十八条：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水产原、良种场的水产苗种生产许可证核发</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ind w:left="53" w:right="82"/>
              <w:jc w:val="left"/>
              <w:rPr>
                <w:rFonts w:hint="eastAsia" w:asciiTheme="minorEastAsia" w:hAnsiTheme="minorEastAsia"/>
                <w:color w:val="333333"/>
                <w:kern w:val="0"/>
                <w:sz w:val="15"/>
                <w:szCs w:val="15"/>
              </w:rPr>
            </w:pPr>
            <w:r>
              <w:rPr>
                <w:rFonts w:hint="eastAsia" w:asciiTheme="minorEastAsia" w:hAnsiTheme="minorEastAsia"/>
                <w:color w:val="333333"/>
                <w:kern w:val="0"/>
                <w:sz w:val="15"/>
                <w:szCs w:val="15"/>
              </w:rPr>
              <w:t>1.水产苗种生产许可证申请表</w:t>
            </w:r>
          </w:p>
          <w:p>
            <w:pPr>
              <w:pStyle w:val="11"/>
              <w:spacing w:before="41" w:line="300" w:lineRule="auto"/>
              <w:ind w:left="106" w:right="98"/>
              <w:rPr>
                <w:sz w:val="15"/>
              </w:rPr>
            </w:pPr>
            <w:r>
              <w:rPr>
                <w:rFonts w:hint="eastAsia"/>
                <w:sz w:val="15"/>
                <w:szCs w:val="15"/>
                <w:lang w:val="en-US"/>
              </w:rPr>
              <w:t>2.办理流程图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Theme="minorEastAsia" w:hAnsiTheme="minorEastAsia" w:eastAsiaTheme="minorEastAsia"/>
                <w:color w:val="333333"/>
                <w:sz w:val="15"/>
                <w:szCs w:val="15"/>
                <w:shd w:val="clear" w:color="auto" w:fill="FFFFFF"/>
              </w:rPr>
              <w:t>《中华人民共和国渔业法》（1986年1月20日主席令第三十四号，2013年12月28日予以修改）第十六条第三款：水产苗种的生产由县级以上地方人民政府渔业行政主管部门审批。但是，渔业生产者自育、自用水产苗种的除外。 《水产苗种管理办法》（2005年1月5日农业部令第46号）第十一条：省级人民政府渔业行政主管部门负责水产原、良种场的水产苗种生产许可证的核发工作。</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渔业捕捞许可审批</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numPr>
                <w:ilvl w:val="0"/>
                <w:numId w:val="5"/>
              </w:numPr>
              <w:spacing w:before="41" w:line="300" w:lineRule="auto"/>
              <w:ind w:right="98"/>
              <w:rPr>
                <w:rFonts w:hint="eastAsia"/>
                <w:sz w:val="15"/>
              </w:rPr>
            </w:pPr>
            <w:r>
              <w:rPr>
                <w:rFonts w:hint="eastAsia"/>
                <w:sz w:val="15"/>
              </w:rPr>
              <w:t>渔业捕捞许可证申请书</w:t>
            </w:r>
          </w:p>
          <w:p>
            <w:pPr>
              <w:pStyle w:val="11"/>
              <w:spacing w:before="41" w:line="300" w:lineRule="auto"/>
              <w:ind w:left="106" w:right="98"/>
              <w:rPr>
                <w:sz w:val="15"/>
              </w:rPr>
            </w:pPr>
            <w:r>
              <w:rPr>
                <w:rFonts w:hint="eastAsia"/>
                <w:sz w:val="15"/>
                <w:lang w:val="en-US" w:eastAsia="zh-CN"/>
              </w:rPr>
              <w:t>2.</w:t>
            </w:r>
            <w:r>
              <w:rPr>
                <w:rFonts w:hint="eastAsia"/>
                <w:sz w:val="15"/>
              </w:rPr>
              <w:t>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Theme="minorEastAsia" w:hAnsiTheme="minorEastAsia" w:eastAsiaTheme="minorEastAsia"/>
                <w:color w:val="333333"/>
                <w:sz w:val="15"/>
                <w:szCs w:val="15"/>
                <w:shd w:val="clear" w:color="auto" w:fill="FFFFFF"/>
              </w:rPr>
              <w:t>【法律】《中华人民共和国渔业法》（1986年1月20日中华人民共和国主席令第三十四号公布 自1986年7月1日起施行 2013年12月28日中华人民共和国主席令第8号公布 自公布之日起施行的《全国人大常委会关于修改&lt;中华人民共和国海洋环境保护法&gt;等七部法律的决定》第二次修正） 第二十三条 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 【规章】《中华人民共和国渔业法实施细则》（1987年10月14日国务院批准，1987年10月20日农牧渔业部发布） 第十五条 国家对捕捞业，实行捕捞许可制度。从事外海、远洋捕捞业的，由经营者提出申请，经省、自治区、直辖市人民政府渔业行政主管部门审核后，报国务院渔业行政主管部门批准。从事外海生产的渔船，必须按照批准的海域和渔期作业，不得擅自进入近海捕捞。 　　近海大型拖网、围网作业的捕捞许可证，由国务院渔业行政主管部门批准发放；近海其他作业的捕捞许可证，由省、自治区、直辖市人民政府渔业行政主管部门按照国家下达的船网工具控制指标批准发放。 　　内陆水域的捕捞许可证，由县级以上地方人民政府渔业行政主管部门批准发放。 　　捕捞许可证的格式，由国务院渔业行政主管部门制定。 【规章】《渔业捕捞许可管理规定》（中华人民共和国农业农村部令2018年第1号 自2019年1月1日起施行） 第二十九条 下列作业渔船的渔业捕捞许可证，向船籍港所在地省级人民政府渔业主管部门申请。省级人民政府渔业主管部门应当审核并报农业农村部批准发放： （一）到公海作业的； （二）到我国与有关国家缔结的协定确定的共同管理渔区及南沙海域、黄岩岛海域作业的； （三）到特定渔业资源渔场、水产种质资源保护区作业的； （四）科研、教学单位的专业科研调查船、教学实习船从事渔业科研、教学实习活动的； （五）其他依法应当由农业农村部批准发放的。 第三十条 下列作业的捕捞许可证，由省级人民政府渔业主管部门批准发放： （一）海洋大型拖网、围网渔船作业的； （二）因养殖或者其他特殊需要，捕捞农业农村部颁布的有重要经济价值的苗种或者禁捕的怀卵亲体的； （三）因教学、科研等特殊需要，在禁渔区、禁渔期从事捕捞作业的。 第三十二条 除本规定第二十九条、第三十条、第三十一条情况外，其他作业的渔业捕捞许可证由县级以上地方人民政府渔业主管部门审批发放。</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农作物种子生产经营许可证核发</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r>
              <w:rPr>
                <w:rFonts w:hint="eastAsia"/>
                <w:sz w:val="15"/>
                <w:szCs w:val="15"/>
                <w:lang w:val="en-US" w:eastAsia="zh-CN"/>
              </w:rPr>
              <w:t>申请书、流程图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SimSun" w:hAnsi="SimSun" w:eastAsia="SimSun" w:cs="SimSun"/>
                <w:i w:val="0"/>
                <w:color w:val="000000"/>
                <w:kern w:val="0"/>
                <w:sz w:val="15"/>
                <w:szCs w:val="15"/>
                <w:u w:val="none"/>
                <w:lang w:val="en-US" w:eastAsia="zh-CN" w:bidi="ar"/>
              </w:rPr>
              <w:t>（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第五章 种子生产经营  第三十一条 从事种子进出口业务的种子生产经营许可证，由省、自治区、直辖市人民政府农业、林业主管部门审核，国务院农业、林业主管部门核发。</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前两款规定以外的其他种子的生产经营许可证，由生产经营者所在地县级以上地方人民政府农业、林业主管部门核发。</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只从事非主要农作物种子和非主要林木种子生产的，不需要办理种子生产经营许可证。</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第三十二条 申请取得种子生产经营许可证的，应当具有与种子生产经营相适应的生产经营设施、设备及专业技术人员，以及法规和国务院农业、林业主管部门规定的其他条件。</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从事种子生产的，还应当同时具有繁殖种子的隔离和培育条件，具有无检疫性有害生物的种子生产地点或者县级以上人民政府林业主管部门确定的采种林。</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申请领取具有植物新品种权的种子生产经营许可证的，应当征得植物新品种权所有人的书面同意。</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第三十三条 种子生产经营许可证应当载明生产经营者名称、地址、法定代表人、生产种子的品种、地点和种子经营的范围、有效期限、有效区域等事项。</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前款事项发生变更的，应当自变更之日起三十日内，向原核发许可证机关申请变更登记。</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　　除本法另有规定外，禁止任何单位和个人无种子生产经营许可证或者违反种子生产经营许可证的规定生产、经营种子。禁止伪造、变造、买卖、租借种子生产经营许可证。</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农作物种子质量纠纷田间现场鉴定</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SimSun" w:hAnsi="SimSun" w:eastAsia="SimSun" w:cs="SimSun"/>
                <w:i w:val="0"/>
                <w:color w:val="000000"/>
                <w:kern w:val="0"/>
                <w:sz w:val="15"/>
                <w:szCs w:val="15"/>
                <w:u w:val="none"/>
                <w:lang w:val="en-US" w:eastAsia="zh-CN" w:bidi="ar"/>
              </w:rPr>
              <w:t>【规章】《农作物种子质量纠纷田间现场鉴定办法》（农业部令2003年第28号）</w:t>
            </w:r>
            <w:r>
              <w:rPr>
                <w:rFonts w:hint="eastAsia" w:ascii="SimSun" w:hAnsi="SimSun" w:eastAsia="SimSun" w:cs="SimSun"/>
                <w:i w:val="0"/>
                <w:color w:val="000000"/>
                <w:kern w:val="0"/>
                <w:sz w:val="15"/>
                <w:szCs w:val="15"/>
                <w:u w:val="none"/>
                <w:lang w:val="en-US" w:eastAsia="zh-CN" w:bidi="ar"/>
              </w:rPr>
              <w:br w:type="textWrapping"/>
            </w:r>
            <w:r>
              <w:rPr>
                <w:rFonts w:hint="eastAsia" w:ascii="SimSun" w:hAnsi="SimSun" w:eastAsia="SimSun" w:cs="SimSun"/>
                <w:i w:val="0"/>
                <w:color w:val="000000"/>
                <w:kern w:val="0"/>
                <w:sz w:val="15"/>
                <w:szCs w:val="15"/>
                <w:u w:val="none"/>
                <w:lang w:val="en-US" w:eastAsia="zh-CN" w:bidi="ar"/>
              </w:rPr>
              <w:t>第二条本办法所称现场鉴定是指农作物种子在大田种植后，因种子质量或者栽培、气候等原因，导致田间出苗、植株生长、作物产量、产品品质等受到影响，双方当事人对造成事故的原因或损失程度存在分歧，为确定事故原因或（和）损失程度而进行的田间现场技术鉴定活动。第三条现场鉴定由田间现场所在地县级以上地方人民政府农业行政主管部门所属的种子管理机构组织实施。</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农药经营者设立分支机构备案</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r>
              <w:rPr>
                <w:rFonts w:hint="eastAsia"/>
                <w:sz w:val="15"/>
                <w:szCs w:val="15"/>
                <w:lang w:val="en-US" w:eastAsia="zh-CN"/>
              </w:rPr>
              <w:t>申请书、流程图</w:t>
            </w:r>
          </w:p>
        </w:tc>
        <w:tc>
          <w:tcPr>
            <w:tcW w:w="2268" w:type="dxa"/>
            <w:tcBorders>
              <w:top w:val="single" w:color="000000" w:sz="4" w:space="0"/>
              <w:left w:val="single" w:color="000000" w:sz="4" w:space="0"/>
              <w:bottom w:val="single" w:color="000000" w:sz="4" w:space="0"/>
              <w:right w:val="single" w:color="000000" w:sz="4" w:space="0"/>
            </w:tcBorders>
          </w:tcPr>
          <w:p>
            <w:pPr>
              <w:rPr>
                <w:rFonts w:hint="eastAsia"/>
                <w:sz w:val="15"/>
                <w:szCs w:val="15"/>
              </w:rPr>
            </w:pPr>
            <w:r>
              <w:rPr>
                <w:rFonts w:hint="eastAsia"/>
                <w:sz w:val="15"/>
                <w:szCs w:val="15"/>
              </w:rPr>
              <w:t>【行政法规】《农药管理条例》（国务院令第216号，1997年5月8日起施行，2017年2月8日修订）</w:t>
            </w:r>
          </w:p>
          <w:p>
            <w:pPr>
              <w:rPr>
                <w:rFonts w:hint="eastAsia"/>
                <w:sz w:val="15"/>
                <w:szCs w:val="15"/>
              </w:rPr>
            </w:pPr>
            <w:r>
              <w:rPr>
                <w:rFonts w:hint="eastAsia"/>
                <w:sz w:val="15"/>
                <w:szCs w:val="15"/>
              </w:rPr>
              <w:t>第二十五条第四款 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rPr>
                <w:rFonts w:hint="eastAsia"/>
                <w:sz w:val="15"/>
                <w:szCs w:val="15"/>
              </w:rPr>
            </w:pPr>
            <w:r>
              <w:rPr>
                <w:rFonts w:hint="eastAsia"/>
                <w:sz w:val="15"/>
                <w:szCs w:val="15"/>
              </w:rPr>
              <w:t>【规章】《农药经营许可管理办法》（农业部2017年第5号令，第6次常务会议审议通过，2017年8月1日起施行</w:t>
            </w:r>
          </w:p>
          <w:p>
            <w:pPr>
              <w:rPr>
                <w:rFonts w:hint="eastAsia"/>
                <w:sz w:val="15"/>
                <w:szCs w:val="15"/>
              </w:rPr>
            </w:pPr>
            <w:r>
              <w:rPr>
                <w:rFonts w:hint="eastAsia"/>
                <w:sz w:val="15"/>
                <w:szCs w:val="15"/>
              </w:rPr>
              <w:t>第二十二条第二款 农药经营者设立分支机构的，应当在农药经营许可证变更后三十日内，向分支机构所在地县级农业部门备案。</w:t>
            </w:r>
          </w:p>
          <w:p>
            <w:pPr>
              <w:pStyle w:val="11"/>
              <w:spacing w:before="41" w:line="300" w:lineRule="auto"/>
              <w:ind w:left="106" w:right="98"/>
              <w:rPr>
                <w:sz w:val="15"/>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19</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禁限用农业投入品目录的确认与公布</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r>
              <w:rPr>
                <w:rFonts w:hint="eastAsia"/>
                <w:sz w:val="15"/>
                <w:szCs w:val="15"/>
                <w:lang w:eastAsia="zh-CN"/>
              </w:rPr>
              <w:t>国家禁限用农药名录及管理措施</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sz w:val="15"/>
                <w:szCs w:val="15"/>
                <w:lang w:eastAsia="zh-CN"/>
              </w:rPr>
              <w:t>根据《农药管理条例》有关限用规定</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水产苗种质量鉴定</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r>
              <w:rPr>
                <w:rFonts w:hint="eastAsia"/>
                <w:sz w:val="15"/>
                <w:lang w:val="en-US"/>
              </w:rPr>
              <w:t>1.办理流程图</w:t>
            </w: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asciiTheme="minorEastAsia" w:hAnsiTheme="minorEastAsia" w:eastAsiaTheme="minorEastAsia"/>
                <w:color w:val="333333"/>
                <w:sz w:val="15"/>
                <w:szCs w:val="15"/>
                <w:shd w:val="clear" w:color="auto" w:fill="FFFFFF"/>
              </w:rPr>
              <w:t>【地方性法规】《辽宁省水产苗种管理条例》（辽宁省第十届人大常委会第22次会议于2005年11月25日审议通过，自2006年1月1日起施行。修改时间：根据2014年1月9日辽宁省十二届人大常委会第6次会议《关于修改部分地方性法规的决定》第二次修正）。第十八条 水产苗种生产单位和个人应当对生产的水产苗种按照相关标准进行质量检验，检验合格后方可销售。禁止生产、经营假、劣水产苗种。县级以上渔业行政主管部门有权对水产苗种质量进行抽检，抽检不得收取费用。抽检样品由被抽检者按照国家有关规定的数量提供。第十九条 水产苗种实行产地检疫制度。水产苗种取得检疫证明后方可销售，从省外引进水产苗种必须持有产地检疫证明后方可运输和销售。水产苗种检疫具体办法和检疫证明的格式由省渔业行政主管部门制定。</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40" w:type="dxa"/>
            <w:tcBorders>
              <w:top w:val="single" w:color="000000" w:sz="4" w:space="0"/>
              <w:left w:val="single" w:color="000000" w:sz="4" w:space="0"/>
              <w:bottom w:val="single" w:color="000000" w:sz="4" w:space="0"/>
              <w:right w:val="single" w:color="000000" w:sz="4" w:space="0"/>
            </w:tcBorders>
            <w:shd w:val="clear" w:color="auto" w:fill="EDEBE0"/>
            <w:vAlign w:val="center"/>
          </w:tcPr>
          <w:p>
            <w:pPr>
              <w:pStyle w:val="11"/>
              <w:spacing w:before="51"/>
              <w:ind w:left="106"/>
              <w:jc w:val="center"/>
              <w:rPr>
                <w:rFonts w:hint="default" w:ascii="Times New Roman" w:eastAsia="SimSun"/>
                <w:sz w:val="20"/>
                <w:szCs w:val="20"/>
                <w:lang w:val="en-US" w:eastAsia="zh-CN"/>
              </w:rPr>
            </w:pPr>
            <w:r>
              <w:rPr>
                <w:rFonts w:hint="eastAsia" w:ascii="Times New Roman"/>
                <w:sz w:val="20"/>
                <w:szCs w:val="20"/>
                <w:lang w:val="en-US" w:eastAsia="zh-CN"/>
              </w:rPr>
              <w:t>21</w:t>
            </w:r>
          </w:p>
        </w:tc>
        <w:tc>
          <w:tcPr>
            <w:tcW w:w="720" w:type="dxa"/>
            <w:tcBorders>
              <w:top w:val="single" w:color="000000" w:sz="4" w:space="0"/>
              <w:left w:val="single" w:color="000000" w:sz="4" w:space="0"/>
              <w:bottom w:val="single" w:color="000000" w:sz="4" w:space="0"/>
              <w:right w:val="single" w:color="000000" w:sz="4" w:space="0"/>
            </w:tcBorders>
            <w:shd w:val="clear" w:color="auto" w:fill="EDEBE0"/>
            <w:vAlign w:val="center"/>
          </w:tcPr>
          <w:p>
            <w:pPr>
              <w:rPr>
                <w:rFonts w:ascii="SimSun" w:hAnsi="SimSun" w:eastAsia="SimSun" w:cs="SimSun"/>
                <w:color w:val="000000"/>
                <w:sz w:val="22"/>
                <w:szCs w:val="22"/>
              </w:rPr>
            </w:pPr>
            <w:r>
              <w:rPr>
                <w:rFonts w:hint="eastAsia"/>
                <w:color w:val="000000"/>
                <w:sz w:val="22"/>
                <w:szCs w:val="22"/>
              </w:rPr>
              <w:t>动物疫情（不包括重大动物疫情）的认定</w:t>
            </w:r>
          </w:p>
        </w:tc>
        <w:tc>
          <w:tcPr>
            <w:tcW w:w="825"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8" w:right="97"/>
              <w:rPr>
                <w:sz w:val="15"/>
              </w:rPr>
            </w:pPr>
          </w:p>
        </w:tc>
        <w:tc>
          <w:tcPr>
            <w:tcW w:w="2250" w:type="dxa"/>
            <w:tcBorders>
              <w:top w:val="single" w:color="000000" w:sz="4" w:space="0"/>
              <w:left w:val="single" w:color="000000" w:sz="4" w:space="0"/>
              <w:bottom w:val="single" w:color="000000" w:sz="4" w:space="0"/>
              <w:right w:val="single" w:color="000000" w:sz="4" w:space="0"/>
            </w:tcBorders>
            <w:shd w:val="clear" w:color="auto" w:fill="EDEBE0"/>
          </w:tcPr>
          <w:p>
            <w:pPr>
              <w:pStyle w:val="11"/>
              <w:spacing w:before="41" w:line="300" w:lineRule="auto"/>
              <w:ind w:left="106" w:right="98"/>
              <w:rPr>
                <w:sz w:val="15"/>
              </w:rPr>
            </w:pPr>
          </w:p>
        </w:tc>
        <w:tc>
          <w:tcPr>
            <w:tcW w:w="2268" w:type="dxa"/>
            <w:tcBorders>
              <w:top w:val="single" w:color="000000" w:sz="4" w:space="0"/>
              <w:left w:val="single" w:color="000000" w:sz="4" w:space="0"/>
              <w:bottom w:val="single" w:color="000000" w:sz="4" w:space="0"/>
              <w:right w:val="single" w:color="000000" w:sz="4" w:space="0"/>
            </w:tcBorders>
          </w:tcPr>
          <w:p>
            <w:pPr>
              <w:pStyle w:val="11"/>
              <w:spacing w:before="41" w:line="300" w:lineRule="auto"/>
              <w:ind w:left="106" w:right="98"/>
              <w:rPr>
                <w:sz w:val="15"/>
              </w:rPr>
            </w:pPr>
            <w:r>
              <w:rPr>
                <w:rFonts w:hint="eastAsia"/>
                <w:sz w:val="15"/>
              </w:rPr>
              <w:t>【法律】《中华人民共和国动物防疫法》（2007年8月30日颁布）</w:t>
            </w:r>
          </w:p>
          <w:p>
            <w:pPr>
              <w:pStyle w:val="11"/>
              <w:spacing w:before="41" w:line="300" w:lineRule="auto"/>
              <w:ind w:left="106" w:right="98"/>
              <w:rPr>
                <w:sz w:val="15"/>
              </w:rPr>
            </w:pPr>
            <w:r>
              <w:rPr>
                <w:rFonts w:hint="eastAsia"/>
                <w:sz w:val="15"/>
              </w:rPr>
              <w:t xml:space="preserve">第二十七条 动物疫情由县级以上人民政府兽医主管部门认定；其中重大动物疫情由省、自治区、直辖市人民政府兽医主管部门认定，必要时报国务院兽医主管部门认定。 </w:t>
            </w:r>
          </w:p>
          <w:p>
            <w:pPr>
              <w:pStyle w:val="11"/>
              <w:spacing w:before="41" w:line="300" w:lineRule="auto"/>
              <w:ind w:left="106" w:right="98"/>
              <w:rPr>
                <w:sz w:val="15"/>
              </w:rPr>
            </w:pPr>
            <w:r>
              <w:rPr>
                <w:rFonts w:hint="eastAsia"/>
                <w:sz w:val="15"/>
              </w:rPr>
              <w:t>第三十一条  发生一类动物疫病时，应当采取下列控制和扑灭措施：（一）当地县级以上地方人民政府兽医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 第三十二条  发生二类动物疫病时，应当采取下列控制和扑灭措施：(一)当地县级以上地方人民政府兽医主管部门应当划定疫点、疫区、受威胁区。</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1"/>
              <w:spacing w:before="42"/>
              <w:jc w:val="center"/>
              <w:rPr>
                <w:sz w:val="22"/>
                <w:szCs w:val="22"/>
              </w:rPr>
            </w:pPr>
            <w:r>
              <w:rPr>
                <w:rFonts w:hint="eastAsia"/>
                <w:sz w:val="22"/>
                <w:szCs w:val="22"/>
              </w:rPr>
              <w:t>长期</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1"/>
              <w:spacing w:before="42" w:line="300" w:lineRule="auto"/>
              <w:ind w:left="106" w:right="97"/>
              <w:jc w:val="center"/>
              <w:rPr>
                <w:sz w:val="22"/>
                <w:szCs w:val="22"/>
              </w:rPr>
            </w:pPr>
            <w:r>
              <w:rPr>
                <w:rFonts w:hint="eastAsia"/>
                <w:sz w:val="22"/>
                <w:szCs w:val="22"/>
              </w:rPr>
              <w:t>农业农村局</w:t>
            </w:r>
          </w:p>
        </w:tc>
        <w:tc>
          <w:tcPr>
            <w:tcW w:w="3544" w:type="dxa"/>
            <w:tcBorders>
              <w:top w:val="single" w:color="000000" w:sz="4" w:space="0"/>
              <w:left w:val="single" w:color="000000" w:sz="4" w:space="0"/>
              <w:bottom w:val="single" w:color="000000" w:sz="4" w:space="0"/>
              <w:right w:val="single" w:color="000000" w:sz="4" w:space="0"/>
            </w:tcBorders>
          </w:tcPr>
          <w:p>
            <w:pPr>
              <w:pStyle w:val="11"/>
              <w:tabs>
                <w:tab w:val="left" w:pos="259"/>
                <w:tab w:val="left" w:pos="1157"/>
              </w:tabs>
              <w:spacing w:before="42"/>
              <w:ind w:left="107"/>
              <w:jc w:val="left"/>
              <w:rPr>
                <w:sz w:val="15"/>
              </w:rPr>
            </w:pPr>
            <w:r>
              <w:rPr>
                <w:rFonts w:hint="eastAsia"/>
                <w:sz w:val="15"/>
              </w:rPr>
              <w:t>√</w:t>
            </w:r>
            <w:r>
              <w:rPr>
                <w:sz w:val="15"/>
              </w:rPr>
              <w:t>政府网站</w:t>
            </w:r>
            <w:r>
              <w:rPr>
                <w:sz w:val="15"/>
              </w:rPr>
              <w:tab/>
            </w:r>
            <w:r>
              <w:rPr>
                <w:sz w:val="15"/>
              </w:rPr>
              <w:t>□政府公报</w:t>
            </w:r>
          </w:p>
          <w:p>
            <w:pPr>
              <w:pStyle w:val="11"/>
              <w:tabs>
                <w:tab w:val="left" w:pos="259"/>
                <w:tab w:val="left" w:pos="1157"/>
              </w:tabs>
              <w:spacing w:before="42"/>
              <w:ind w:left="107"/>
              <w:jc w:val="left"/>
              <w:rPr>
                <w:sz w:val="15"/>
              </w:rPr>
            </w:pPr>
            <w:r>
              <w:rPr>
                <w:sz w:val="15"/>
              </w:rPr>
              <w:t>□两微一端</w:t>
            </w:r>
            <w:r>
              <w:rPr>
                <w:sz w:val="15"/>
              </w:rPr>
              <w:tab/>
            </w:r>
            <w:r>
              <w:rPr>
                <w:sz w:val="15"/>
              </w:rPr>
              <w:t>□发布会听证会</w:t>
            </w:r>
          </w:p>
          <w:p>
            <w:pPr>
              <w:pStyle w:val="11"/>
              <w:tabs>
                <w:tab w:val="left" w:pos="259"/>
                <w:tab w:val="left" w:pos="1157"/>
              </w:tabs>
              <w:spacing w:before="42"/>
              <w:ind w:left="107"/>
              <w:jc w:val="left"/>
              <w:rPr>
                <w:sz w:val="15"/>
              </w:rPr>
            </w:pPr>
            <w:r>
              <w:rPr>
                <w:sz w:val="15"/>
              </w:rPr>
              <w:t>□广播电视</w:t>
            </w:r>
            <w:r>
              <w:rPr>
                <w:sz w:val="15"/>
              </w:rPr>
              <w:tab/>
            </w:r>
            <w:r>
              <w:rPr>
                <w:sz w:val="15"/>
              </w:rPr>
              <w:t>□纸质媒体</w:t>
            </w:r>
          </w:p>
          <w:p>
            <w:pPr>
              <w:pStyle w:val="11"/>
              <w:tabs>
                <w:tab w:val="left" w:pos="259"/>
                <w:tab w:val="left" w:pos="1157"/>
              </w:tabs>
              <w:spacing w:before="42"/>
              <w:ind w:left="107"/>
              <w:jc w:val="left"/>
              <w:rPr>
                <w:sz w:val="15"/>
              </w:rPr>
            </w:pPr>
            <w:r>
              <w:rPr>
                <w:sz w:val="15"/>
              </w:rPr>
              <w:t xml:space="preserve">□公开查阅点 </w:t>
            </w:r>
            <w:r>
              <w:rPr>
                <w:rFonts w:hint="eastAsia"/>
                <w:sz w:val="15"/>
              </w:rPr>
              <w:t xml:space="preserve"> </w:t>
            </w:r>
            <w:r>
              <w:rPr>
                <w:sz w:val="15"/>
              </w:rPr>
              <w:t>□政务服务中心</w:t>
            </w:r>
          </w:p>
          <w:p>
            <w:pPr>
              <w:pStyle w:val="11"/>
              <w:tabs>
                <w:tab w:val="left" w:pos="259"/>
                <w:tab w:val="left" w:pos="1157"/>
              </w:tabs>
              <w:spacing w:before="42"/>
              <w:ind w:left="107"/>
              <w:jc w:val="left"/>
              <w:rPr>
                <w:sz w:val="15"/>
              </w:rPr>
            </w:pPr>
            <w:r>
              <w:rPr>
                <w:sz w:val="15"/>
              </w:rPr>
              <w:t xml:space="preserve">□便民服务站 </w:t>
            </w:r>
            <w:r>
              <w:rPr>
                <w:rFonts w:hint="eastAsia"/>
                <w:sz w:val="15"/>
              </w:rPr>
              <w:t xml:space="preserve"> </w:t>
            </w:r>
            <w:r>
              <w:rPr>
                <w:sz w:val="15"/>
              </w:rPr>
              <w:t>□入户/现场</w:t>
            </w:r>
          </w:p>
          <w:p>
            <w:pPr>
              <w:pStyle w:val="11"/>
              <w:tabs>
                <w:tab w:val="left" w:pos="259"/>
                <w:tab w:val="left" w:pos="1157"/>
              </w:tabs>
              <w:spacing w:before="42"/>
              <w:ind w:left="107"/>
              <w:jc w:val="left"/>
              <w:rPr>
                <w:sz w:val="15"/>
              </w:rPr>
            </w:pPr>
            <w:r>
              <w:rPr>
                <w:sz w:val="15"/>
              </w:rPr>
              <w:t>□社区/企事业单位/村公示栏（电子屏）</w:t>
            </w:r>
          </w:p>
          <w:p>
            <w:pPr>
              <w:pStyle w:val="11"/>
              <w:tabs>
                <w:tab w:val="left" w:pos="259"/>
                <w:tab w:val="left" w:pos="1157"/>
              </w:tabs>
              <w:spacing w:before="42"/>
              <w:ind w:left="107"/>
              <w:jc w:val="left"/>
              <w:rPr>
                <w:sz w:val="15"/>
              </w:rPr>
            </w:pPr>
            <w:r>
              <w:rPr>
                <w:sz w:val="15"/>
              </w:rPr>
              <w:t>□精准推送</w:t>
            </w:r>
            <w:r>
              <w:rPr>
                <w:sz w:val="15"/>
              </w:rPr>
              <w:tab/>
            </w:r>
            <w:r>
              <w:rPr>
                <w:sz w:val="15"/>
              </w:rPr>
              <w:t>□投资项目在线审批监管平台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1"/>
              <w:ind w:left="6"/>
              <w:jc w:val="center"/>
              <w:rPr>
                <w:rFonts w:ascii="FangSong" w:hAnsi="FangSong"/>
                <w:sz w:val="30"/>
              </w:rPr>
            </w:pPr>
            <w:r>
              <w:rPr>
                <w:rFonts w:hint="eastAsia" w:ascii="FangSong" w:hAnsi="FangSong"/>
                <w:sz w:val="30"/>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sz w:val="14"/>
              </w:rPr>
            </w:pPr>
          </w:p>
        </w:tc>
      </w:tr>
    </w:tbl>
    <w:p>
      <w:pPr>
        <w:rPr>
          <w:rFonts w:ascii="Times New Roman"/>
          <w:sz w:val="14"/>
        </w:rPr>
        <w:sectPr>
          <w:type w:val="continuous"/>
          <w:pgSz w:w="16840" w:h="11910" w:orient="landscape"/>
          <w:pgMar w:top="1040" w:right="580" w:bottom="1300" w:left="580" w:header="720" w:footer="720" w:gutter="0"/>
          <w:cols w:space="720" w:num="1"/>
        </w:sectPr>
      </w:pPr>
    </w:p>
    <w:p>
      <w:pPr>
        <w:rPr>
          <w:sz w:val="32"/>
          <w:szCs w:val="3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FangSong">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6" o:spid="_x0000_s1026" o:spt="202" type="#_x0000_t202" style="position:absolute;left:0pt;margin-left:416.65pt;margin-top:524.5pt;height:11pt;width:8.6pt;mso-position-horizontal-relative:page;mso-position-vertical-relative:page;z-index:-251658240;mso-width-relative:page;mso-height-relative:page;" filled="f" stroked="f" coordsize="21600,21600" o:gfxdata="UEsDBAoAAAAAAIdO4kAAAAAAAAAAAAAAAAAEAAAAZHJzL1BLAwQUAAAACACHTuJAFXaIytsAAAAN&#10;AQAADwAAAGRycy9kb3ducmV2LnhtbE2PzU7DMBCE70i8g7WVuFE7hJY0jVMhBCck1DQcODqxm1iN&#10;1yF2f3h7tic47syn2Zlic3EDO5kpWI8SkrkAZrD12mIn4bN+u8+AhahQq8GjkfBjAmzK25tC5dqf&#10;sTKnXewYhWDIlYQ+xjHnPLS9cSrM/WiQvL2fnIp0Th3XkzpTuBv4gxBL7pRF+tCr0bz0pj3sjk7C&#10;8xdWr/b7o9lW+8rW9Urg+/Ig5d0sEWtg0VziHwzX+lQdSurU+CPqwAYJWZqmhJIhHle0ipBsIRbA&#10;mqv0lAjgZcH/ryh/AVBLAwQUAAAACACHTuJArrA0Z50BAAAjAwAADgAAAGRycy9lMm9Eb2MueG1s&#10;rVJLjhMxEN0jcQfLe+JOIgHTSmckNBqEhABp4ACO205bsl1W2ZPuXABuwIoNe86Vc1D2pDN8doiN&#10;Xa4qP7/3ypvryTt20JgshI4vFw1nOijobdh3/NPH22cvOUtZhl46CLrjR5349fbpk80YW72CAVyv&#10;kRFISO0YOz7kHFshkhq0l2kBUQcqGkAvMx1xL3qUI6F7J1ZN81yMgH1EUDolyt48FPm24hujVX5v&#10;TNKZuY4Tt1xXrOuurGK7ke0eZRysOtOQ/8DCSxvo0QvUjcyS3aP9C8pbhZDA5IUCL8AYq3TVQGqW&#10;zR9q7gYZddVC5qR4sSn9P1j17vABme07vuYsSE8jOn39cvr24/T9M1sXe8aYWuq6i9SXp1cw0Zjn&#10;fKJkUT0Z9GUnPYzqZPTxYq6eMlPlUnO1WlFFUWm5vnrRVPPF4+WIKb/W4FkJOo40u2qpPLxNmYhQ&#10;69xS3gpwa52r83PhtwQ1lowozB8YlihPu+ksZwf9kdS4N4GcLL9iDnAOdnNwH9HuB6JTNVdImkQl&#10;c/41ZdS/nuvDj397+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dojK2wAAAA0BAAAPAAAAAAAA&#10;AAEAIAAAACIAAABkcnMvZG93bnJldi54bWxQSwECFAAUAAAACACHTuJArrA0Z50BAAAjAwAADgAA&#10;AAAAAAABACAAAAAqAQAAZHJzL2Uyb0RvYy54bWxQSwUGAAAAAAYABgBZAQAAOQUAAAAA&#10;">
          <v:path/>
          <v:fill on="f" focussize="0,0"/>
          <v:stroke on="f" joinstyle="miter"/>
          <v:imagedata o:title=""/>
          <o:lock v:ext="edit"/>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1206B"/>
    <w:multiLevelType w:val="singleLevel"/>
    <w:tmpl w:val="D2B1206B"/>
    <w:lvl w:ilvl="0" w:tentative="0">
      <w:start w:val="1"/>
      <w:numFmt w:val="decimal"/>
      <w:lvlText w:val="%1."/>
      <w:lvlJc w:val="left"/>
      <w:pPr>
        <w:tabs>
          <w:tab w:val="left" w:pos="312"/>
        </w:tabs>
      </w:pPr>
    </w:lvl>
  </w:abstractNum>
  <w:abstractNum w:abstractNumId="1">
    <w:nsid w:val="D98E9C26"/>
    <w:multiLevelType w:val="singleLevel"/>
    <w:tmpl w:val="D98E9C26"/>
    <w:lvl w:ilvl="0" w:tentative="0">
      <w:start w:val="1"/>
      <w:numFmt w:val="decimal"/>
      <w:lvlText w:val="%1."/>
      <w:lvlJc w:val="left"/>
      <w:pPr>
        <w:tabs>
          <w:tab w:val="left" w:pos="312"/>
        </w:tabs>
      </w:pPr>
    </w:lvl>
  </w:abstractNum>
  <w:abstractNum w:abstractNumId="2">
    <w:nsid w:val="0DC6286A"/>
    <w:multiLevelType w:val="multilevel"/>
    <w:tmpl w:val="0DC6286A"/>
    <w:lvl w:ilvl="0" w:tentative="0">
      <w:start w:val="1"/>
      <w:numFmt w:val="decimal"/>
      <w:lvlText w:val="%1."/>
      <w:lvlJc w:val="left"/>
      <w:pPr>
        <w:ind w:left="256" w:hanging="150"/>
      </w:pPr>
      <w:rPr>
        <w:rFonts w:hint="default"/>
      </w:rPr>
    </w:lvl>
    <w:lvl w:ilvl="1" w:tentative="0">
      <w:start w:val="1"/>
      <w:numFmt w:val="lowerLetter"/>
      <w:lvlText w:val="%2)"/>
      <w:lvlJc w:val="left"/>
      <w:pPr>
        <w:ind w:left="946" w:hanging="420"/>
      </w:pPr>
    </w:lvl>
    <w:lvl w:ilvl="2" w:tentative="0">
      <w:start w:val="1"/>
      <w:numFmt w:val="lowerRoman"/>
      <w:lvlText w:val="%3."/>
      <w:lvlJc w:val="right"/>
      <w:pPr>
        <w:ind w:left="1366" w:hanging="420"/>
      </w:pPr>
    </w:lvl>
    <w:lvl w:ilvl="3" w:tentative="0">
      <w:start w:val="1"/>
      <w:numFmt w:val="decimal"/>
      <w:lvlText w:val="%4."/>
      <w:lvlJc w:val="left"/>
      <w:pPr>
        <w:ind w:left="1786" w:hanging="420"/>
      </w:pPr>
    </w:lvl>
    <w:lvl w:ilvl="4" w:tentative="0">
      <w:start w:val="1"/>
      <w:numFmt w:val="lowerLetter"/>
      <w:lvlText w:val="%5)"/>
      <w:lvlJc w:val="left"/>
      <w:pPr>
        <w:ind w:left="2206" w:hanging="420"/>
      </w:pPr>
    </w:lvl>
    <w:lvl w:ilvl="5" w:tentative="0">
      <w:start w:val="1"/>
      <w:numFmt w:val="lowerRoman"/>
      <w:lvlText w:val="%6."/>
      <w:lvlJc w:val="right"/>
      <w:pPr>
        <w:ind w:left="2626" w:hanging="420"/>
      </w:pPr>
    </w:lvl>
    <w:lvl w:ilvl="6" w:tentative="0">
      <w:start w:val="1"/>
      <w:numFmt w:val="decimal"/>
      <w:lvlText w:val="%7."/>
      <w:lvlJc w:val="left"/>
      <w:pPr>
        <w:ind w:left="3046" w:hanging="420"/>
      </w:pPr>
    </w:lvl>
    <w:lvl w:ilvl="7" w:tentative="0">
      <w:start w:val="1"/>
      <w:numFmt w:val="lowerLetter"/>
      <w:lvlText w:val="%8)"/>
      <w:lvlJc w:val="left"/>
      <w:pPr>
        <w:ind w:left="3466" w:hanging="420"/>
      </w:pPr>
    </w:lvl>
    <w:lvl w:ilvl="8" w:tentative="0">
      <w:start w:val="1"/>
      <w:numFmt w:val="lowerRoman"/>
      <w:lvlText w:val="%9."/>
      <w:lvlJc w:val="right"/>
      <w:pPr>
        <w:ind w:left="3886" w:hanging="420"/>
      </w:pPr>
    </w:lvl>
  </w:abstractNum>
  <w:abstractNum w:abstractNumId="3">
    <w:nsid w:val="62457DD2"/>
    <w:multiLevelType w:val="singleLevel"/>
    <w:tmpl w:val="62457DD2"/>
    <w:lvl w:ilvl="0" w:tentative="0">
      <w:start w:val="1"/>
      <w:numFmt w:val="decimal"/>
      <w:lvlText w:val="%1."/>
      <w:lvlJc w:val="left"/>
      <w:pPr>
        <w:tabs>
          <w:tab w:val="left" w:pos="312"/>
        </w:tabs>
      </w:pPr>
    </w:lvl>
  </w:abstractNum>
  <w:abstractNum w:abstractNumId="4">
    <w:nsid w:val="6A690D50"/>
    <w:multiLevelType w:val="multilevel"/>
    <w:tmpl w:val="6A690D50"/>
    <w:lvl w:ilvl="0" w:tentative="0">
      <w:start w:val="1"/>
      <w:numFmt w:val="decimal"/>
      <w:lvlText w:val="%1."/>
      <w:lvlJc w:val="left"/>
      <w:pPr>
        <w:ind w:left="256" w:hanging="150"/>
      </w:pPr>
      <w:rPr>
        <w:rFonts w:hint="default"/>
      </w:rPr>
    </w:lvl>
    <w:lvl w:ilvl="1" w:tentative="0">
      <w:start w:val="1"/>
      <w:numFmt w:val="lowerLetter"/>
      <w:lvlText w:val="%2)"/>
      <w:lvlJc w:val="left"/>
      <w:pPr>
        <w:ind w:left="946" w:hanging="420"/>
      </w:pPr>
    </w:lvl>
    <w:lvl w:ilvl="2" w:tentative="0">
      <w:start w:val="1"/>
      <w:numFmt w:val="lowerRoman"/>
      <w:lvlText w:val="%3."/>
      <w:lvlJc w:val="right"/>
      <w:pPr>
        <w:ind w:left="1366" w:hanging="420"/>
      </w:pPr>
    </w:lvl>
    <w:lvl w:ilvl="3" w:tentative="0">
      <w:start w:val="1"/>
      <w:numFmt w:val="decimal"/>
      <w:lvlText w:val="%4."/>
      <w:lvlJc w:val="left"/>
      <w:pPr>
        <w:ind w:left="1786" w:hanging="420"/>
      </w:pPr>
    </w:lvl>
    <w:lvl w:ilvl="4" w:tentative="0">
      <w:start w:val="1"/>
      <w:numFmt w:val="lowerLetter"/>
      <w:lvlText w:val="%5)"/>
      <w:lvlJc w:val="left"/>
      <w:pPr>
        <w:ind w:left="2206" w:hanging="420"/>
      </w:pPr>
    </w:lvl>
    <w:lvl w:ilvl="5" w:tentative="0">
      <w:start w:val="1"/>
      <w:numFmt w:val="lowerRoman"/>
      <w:lvlText w:val="%6."/>
      <w:lvlJc w:val="right"/>
      <w:pPr>
        <w:ind w:left="2626" w:hanging="420"/>
      </w:pPr>
    </w:lvl>
    <w:lvl w:ilvl="6" w:tentative="0">
      <w:start w:val="1"/>
      <w:numFmt w:val="decimal"/>
      <w:lvlText w:val="%7."/>
      <w:lvlJc w:val="left"/>
      <w:pPr>
        <w:ind w:left="3046" w:hanging="420"/>
      </w:pPr>
    </w:lvl>
    <w:lvl w:ilvl="7" w:tentative="0">
      <w:start w:val="1"/>
      <w:numFmt w:val="lowerLetter"/>
      <w:lvlText w:val="%8)"/>
      <w:lvlJc w:val="left"/>
      <w:pPr>
        <w:ind w:left="3466" w:hanging="420"/>
      </w:pPr>
    </w:lvl>
    <w:lvl w:ilvl="8" w:tentative="0">
      <w:start w:val="1"/>
      <w:numFmt w:val="lowerRoman"/>
      <w:lvlText w:val="%9."/>
      <w:lvlJc w:val="right"/>
      <w:pPr>
        <w:ind w:left="3886"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0000000"/>
    <w:rsid w:val="182E38E2"/>
    <w:rsid w:val="1CDF5585"/>
    <w:rsid w:val="3F010329"/>
    <w:rsid w:val="422322CF"/>
    <w:rsid w:val="4A2630AE"/>
    <w:rsid w:val="4C4B05DB"/>
    <w:rsid w:val="62280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32"/>
      <w:szCs w:val="32"/>
      <w:lang w:val="zh-CN" w:bidi="zh-CN"/>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SimSun" w:hAnsi="SimSun" w:eastAsia="SimSun" w:cs="SimSun"/>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paragraph" w:customStyle="1" w:styleId="11">
    <w:name w:val="Table Paragraph"/>
    <w:basedOn w:val="1"/>
    <w:qFormat/>
    <w:uiPriority w:val="1"/>
    <w:rPr>
      <w:rFonts w:ascii="SimSun" w:hAnsi="SimSun" w:eastAsia="SimSun" w:cs="SimSun"/>
      <w:lang w:val="zh-CN" w:bidi="zh-CN"/>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CB16E-3E28-4167-8B03-C3B7F3E1AF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1194</Words>
  <Characters>6808</Characters>
  <Lines>56</Lines>
  <Paragraphs>15</Paragraphs>
  <TotalTime>6</TotalTime>
  <ScaleCrop>false</ScaleCrop>
  <LinksUpToDate>false</LinksUpToDate>
  <CharactersWithSpaces>7987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2020-11-03T06:26:00Z</dcterms:created>
  <dc:creator>辉辉</dc:creator>
  <cp:lastModifiedBy>辉辉</cp:lastModifiedBy>
  <dcterms:modified xsi:type="dcterms:W3CDTF">2020-12-01T08:12:11Z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