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21" w:rsidRDefault="00BB1993" w:rsidP="00872521">
      <w:pPr>
        <w:rPr>
          <w:rFonts w:ascii="华文中宋" w:eastAsia="华文中宋" w:hAnsi="华文中宋" w:cs="楷体"/>
          <w:b/>
          <w:bCs/>
          <w:sz w:val="44"/>
          <w:szCs w:val="44"/>
        </w:rPr>
      </w:pPr>
      <w:r>
        <w:rPr>
          <w:rFonts w:ascii="华文中宋" w:eastAsia="华文中宋" w:hAnsi="华文中宋" w:cs="楷体"/>
          <w:b/>
          <w:bCs/>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05pt;margin-top:6.55pt;width:434.65pt;height:48.25pt;z-index:251659264" fillcolor="red" strokecolor="red">
            <v:textpath style="font-family:&quot;方正小标宋简体&quot;;font-size:18pt;font-weight:bold" trim="t" fitpath="t" string="清原满族自治县民族和宗教事务局"/>
            <w10:wrap type="square"/>
          </v:shape>
        </w:pict>
      </w:r>
      <w:r>
        <w:rPr>
          <w:rFonts w:ascii="华文中宋" w:eastAsia="华文中宋" w:hAnsi="华文中宋" w:cs="楷体"/>
          <w:b/>
          <w:bCs/>
          <w:noProof/>
          <w:sz w:val="44"/>
          <w:szCs w:val="44"/>
        </w:rPr>
        <w:pict>
          <v:line id="_x0000_s2052" style="position:absolute;left:0;text-align:left;flip:y;z-index:251658240" from="-19.05pt,76.15pt" to="426.6pt,76.15pt" o:gfxdata="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0L1TNcA&#10;AAALAQAADwAAAAAAAAABACAAAAAiAAAAZHJzL2Rvd25yZXYueG1sUEsBAhQAFAAAAAgAh07iQARz&#10;IzXnAQAApQMAAA4AAAAAAAAAAQAgAAAAJgEAAGRycy9lMm9Eb2MueG1sUEsFBgAAAAAGAAYAWQEA&#10;AH8FAAAAAA==&#10;" strokecolor="red" strokeweight="2pt"/>
        </w:pict>
      </w:r>
    </w:p>
    <w:p w:rsidR="009B568C" w:rsidRPr="00A715C9" w:rsidRDefault="00C71DD9">
      <w:pPr>
        <w:jc w:val="center"/>
        <w:rPr>
          <w:rFonts w:ascii="华文中宋" w:eastAsia="华文中宋" w:hAnsi="华文中宋" w:cs="仿宋"/>
          <w:sz w:val="44"/>
          <w:szCs w:val="44"/>
        </w:rPr>
      </w:pPr>
      <w:r>
        <w:rPr>
          <w:rFonts w:ascii="华文中宋" w:eastAsia="华文中宋" w:hAnsi="华文中宋" w:cs="楷体" w:hint="eastAsia"/>
          <w:b/>
          <w:bCs/>
          <w:sz w:val="44"/>
          <w:szCs w:val="44"/>
        </w:rPr>
        <w:t>重大执法决定法制审核</w:t>
      </w:r>
      <w:r w:rsidR="00294386">
        <w:rPr>
          <w:rFonts w:ascii="华文中宋" w:eastAsia="华文中宋" w:hAnsi="华文中宋" w:cs="楷体" w:hint="eastAsia"/>
          <w:b/>
          <w:bCs/>
          <w:sz w:val="44"/>
          <w:szCs w:val="44"/>
        </w:rPr>
        <w:t>制度</w:t>
      </w:r>
    </w:p>
    <w:p w:rsidR="00176243" w:rsidRPr="00176243" w:rsidRDefault="00176243" w:rsidP="00176243">
      <w:pPr>
        <w:rPr>
          <w:rFonts w:ascii="仿宋" w:eastAsia="仿宋" w:hAnsi="仿宋" w:cs="仿宋"/>
          <w:sz w:val="32"/>
          <w:szCs w:val="32"/>
        </w:rPr>
      </w:pPr>
    </w:p>
    <w:p w:rsidR="00583909" w:rsidRPr="00583909" w:rsidRDefault="00176243" w:rsidP="00583909">
      <w:pPr>
        <w:rPr>
          <w:rFonts w:ascii="仿宋" w:eastAsia="仿宋" w:hAnsi="仿宋" w:cs="仿宋"/>
          <w:sz w:val="32"/>
          <w:szCs w:val="32"/>
        </w:rPr>
      </w:pPr>
      <w:r w:rsidRPr="00176243">
        <w:rPr>
          <w:rFonts w:ascii="仿宋" w:eastAsia="仿宋" w:hAnsi="仿宋" w:cs="仿宋" w:hint="eastAsia"/>
          <w:sz w:val="32"/>
          <w:szCs w:val="32"/>
        </w:rPr>
        <w:t xml:space="preserve">    </w:t>
      </w:r>
      <w:r w:rsidR="00583909" w:rsidRPr="00583909">
        <w:rPr>
          <w:rFonts w:ascii="仿宋" w:eastAsia="仿宋" w:hAnsi="仿宋" w:cs="仿宋" w:hint="eastAsia"/>
          <w:sz w:val="32"/>
          <w:szCs w:val="32"/>
        </w:rPr>
        <w:t>第一条</w:t>
      </w:r>
      <w:r w:rsidR="00583909">
        <w:rPr>
          <w:rFonts w:ascii="仿宋" w:eastAsia="仿宋" w:hAnsi="仿宋" w:cs="仿宋" w:hint="eastAsia"/>
          <w:sz w:val="32"/>
          <w:szCs w:val="32"/>
        </w:rPr>
        <w:t xml:space="preserve"> </w:t>
      </w:r>
      <w:r w:rsidR="00583909" w:rsidRPr="00583909">
        <w:rPr>
          <w:rFonts w:ascii="仿宋" w:eastAsia="仿宋" w:hAnsi="仿宋" w:cs="仿宋" w:hint="eastAsia"/>
          <w:sz w:val="32"/>
          <w:szCs w:val="32"/>
        </w:rPr>
        <w:t>为规范本单位行政执法行为，提高行政执法质量，促进依法行政，特制定本制度。</w:t>
      </w:r>
      <w:r w:rsidR="00583909">
        <w:rPr>
          <w:rFonts w:ascii="仿宋" w:eastAsia="仿宋" w:hAnsi="仿宋" w:cs="仿宋" w:hint="eastAsia"/>
          <w:sz w:val="32"/>
          <w:szCs w:val="32"/>
        </w:rPr>
        <w:t xml:space="preserve"> </w:t>
      </w:r>
    </w:p>
    <w:p w:rsidR="00583909" w:rsidRPr="00583909" w:rsidRDefault="00583909" w:rsidP="00583909">
      <w:pPr>
        <w:ind w:firstLineChars="200" w:firstLine="640"/>
        <w:rPr>
          <w:rFonts w:ascii="仿宋" w:eastAsia="仿宋" w:hAnsi="仿宋" w:cs="仿宋"/>
          <w:sz w:val="32"/>
          <w:szCs w:val="32"/>
        </w:rPr>
      </w:pPr>
      <w:r w:rsidRPr="00583909">
        <w:rPr>
          <w:rFonts w:ascii="仿宋" w:eastAsia="仿宋" w:hAnsi="仿宋" w:cs="仿宋" w:hint="eastAsia"/>
          <w:sz w:val="32"/>
          <w:szCs w:val="32"/>
        </w:rPr>
        <w:t>第二条 本制度所称重大执法决定法制审核，是指本机关作出重大行政执法决定前，由本单位成立的法制审核小组，对拟作出的决定，进行合法性、合理性审核。主要包括：</w:t>
      </w:r>
    </w:p>
    <w:p w:rsidR="00583909" w:rsidRPr="00583909" w:rsidRDefault="00583909" w:rsidP="00583909">
      <w:pPr>
        <w:ind w:firstLineChars="200" w:firstLine="640"/>
        <w:rPr>
          <w:rFonts w:ascii="仿宋" w:eastAsia="仿宋" w:hAnsi="仿宋" w:cs="仿宋"/>
          <w:sz w:val="32"/>
          <w:szCs w:val="32"/>
        </w:rPr>
      </w:pPr>
      <w:r w:rsidRPr="00583909">
        <w:rPr>
          <w:rFonts w:ascii="仿宋" w:eastAsia="仿宋" w:hAnsi="仿宋" w:cs="仿宋" w:hint="eastAsia"/>
          <w:sz w:val="32"/>
          <w:szCs w:val="32"/>
        </w:rPr>
        <w:t>（一） 重大行政处罚决定；</w:t>
      </w:r>
    </w:p>
    <w:p w:rsidR="00583909" w:rsidRPr="00583909" w:rsidRDefault="00583909" w:rsidP="00583909">
      <w:pPr>
        <w:ind w:firstLineChars="200" w:firstLine="640"/>
        <w:rPr>
          <w:rFonts w:ascii="仿宋" w:eastAsia="仿宋" w:hAnsi="仿宋" w:cs="仿宋"/>
          <w:sz w:val="32"/>
          <w:szCs w:val="32"/>
        </w:rPr>
      </w:pPr>
      <w:r w:rsidRPr="00583909">
        <w:rPr>
          <w:rFonts w:ascii="仿宋" w:eastAsia="仿宋" w:hAnsi="仿宋" w:cs="仿宋" w:hint="eastAsia"/>
          <w:sz w:val="32"/>
          <w:szCs w:val="32"/>
        </w:rPr>
        <w:t>（二） 重大行政许可决定；</w:t>
      </w:r>
    </w:p>
    <w:p w:rsidR="00583909" w:rsidRPr="00583909" w:rsidRDefault="00583909" w:rsidP="00583909">
      <w:pPr>
        <w:ind w:firstLineChars="200" w:firstLine="640"/>
        <w:rPr>
          <w:rFonts w:ascii="仿宋" w:eastAsia="仿宋" w:hAnsi="仿宋" w:cs="仿宋"/>
          <w:sz w:val="32"/>
          <w:szCs w:val="32"/>
        </w:rPr>
      </w:pPr>
      <w:r w:rsidRPr="00583909">
        <w:rPr>
          <w:rFonts w:ascii="仿宋" w:eastAsia="仿宋" w:hAnsi="仿宋" w:cs="仿宋" w:hint="eastAsia"/>
          <w:sz w:val="32"/>
          <w:szCs w:val="32"/>
        </w:rPr>
        <w:t>（三）其他重大行政执法决定。</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第三条 本制度所称重大执法决定法律审查制度，是指对以本局名义实施的重大行政执法决定，进行事前内部合法性审核的工作制度。</w:t>
      </w:r>
      <w:r w:rsidR="00861733">
        <w:rPr>
          <w:rFonts w:ascii="仿宋" w:eastAsia="仿宋" w:hAnsi="仿宋" w:cs="仿宋" w:hint="eastAsia"/>
          <w:sz w:val="32"/>
          <w:szCs w:val="32"/>
        </w:rPr>
        <w:t>法制审核小组</w:t>
      </w:r>
      <w:r w:rsidRPr="00583909">
        <w:rPr>
          <w:rFonts w:ascii="仿宋" w:eastAsia="仿宋" w:hAnsi="仿宋" w:cs="仿宋" w:hint="eastAsia"/>
          <w:sz w:val="32"/>
          <w:szCs w:val="32"/>
        </w:rPr>
        <w:t>具体负责本部门的重大行政执法决定法制审核工作，对</w:t>
      </w:r>
      <w:r w:rsidR="00D11302">
        <w:rPr>
          <w:rFonts w:ascii="仿宋" w:eastAsia="仿宋" w:hAnsi="仿宋" w:cs="仿宋" w:hint="eastAsia"/>
          <w:sz w:val="32"/>
          <w:szCs w:val="32"/>
        </w:rPr>
        <w:t>民族宗教组</w:t>
      </w:r>
      <w:r w:rsidRPr="00583909">
        <w:rPr>
          <w:rFonts w:ascii="仿宋" w:eastAsia="仿宋" w:hAnsi="仿宋" w:cs="仿宋" w:hint="eastAsia"/>
          <w:sz w:val="32"/>
          <w:szCs w:val="32"/>
        </w:rPr>
        <w:t>作出的重大行政执法决定，对其合法性、适当性进行审核。</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第四条 行政执法事项符合下列情形的，应当列入重大行政执法决定法制审核范围：</w:t>
      </w:r>
    </w:p>
    <w:p w:rsidR="00583909" w:rsidRPr="00583909" w:rsidRDefault="00583909" w:rsidP="00583909">
      <w:pPr>
        <w:rPr>
          <w:rFonts w:ascii="仿宋" w:eastAsia="仿宋" w:hAnsi="仿宋" w:cs="仿宋"/>
          <w:sz w:val="32"/>
          <w:szCs w:val="32"/>
        </w:rPr>
      </w:pP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lastRenderedPageBreak/>
        <w:t>（一）适用一般程序作出行政处罚决定的；</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（二）适用听证程序作出行政执法决定的；</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（三）涉及重大公共利益的；</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（四）社会关注度高的；</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（五）可能造成重大社会影响的；</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（六）案件情况复杂，涉及多个法律关系的；</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（七）法律、法规、规章或者规范性文件规定应当进行法制审核的。</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第五条 审核小组对重大行政执法案件进行审核，主要包括以下内容：</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（一）执法主体资格及行政执法人员资格；</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（二）认定的事实、证据；</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（三）法律依据及行政裁量权的行使；</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（四）执法程序；</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（五）法律、法规、规章规定的其他内容。</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第六条 行政机关拟作出的重大行政执法决定，未经法律审查或者经审查后提出不同意见的，不得进入下一程序。</w:t>
      </w:r>
    </w:p>
    <w:p w:rsidR="00861733" w:rsidRPr="00861733" w:rsidRDefault="00583909" w:rsidP="00861733">
      <w:pPr>
        <w:ind w:firstLineChars="200" w:firstLine="640"/>
        <w:rPr>
          <w:rFonts w:ascii="仿宋" w:eastAsia="仿宋" w:hAnsi="仿宋" w:cs="仿宋"/>
          <w:sz w:val="32"/>
          <w:szCs w:val="32"/>
        </w:rPr>
      </w:pPr>
      <w:r w:rsidRPr="00583909">
        <w:rPr>
          <w:rFonts w:ascii="仿宋" w:eastAsia="仿宋" w:hAnsi="仿宋" w:cs="仿宋" w:hint="eastAsia"/>
          <w:sz w:val="32"/>
          <w:szCs w:val="32"/>
        </w:rPr>
        <w:t>负责审查的</w:t>
      </w:r>
      <w:r w:rsidR="00861733">
        <w:rPr>
          <w:rFonts w:ascii="仿宋" w:eastAsia="仿宋" w:hAnsi="仿宋" w:cs="仿宋" w:hint="eastAsia"/>
          <w:sz w:val="32"/>
          <w:szCs w:val="32"/>
        </w:rPr>
        <w:t>法制审核小组</w:t>
      </w:r>
      <w:r w:rsidRPr="00583909">
        <w:rPr>
          <w:rFonts w:ascii="仿宋" w:eastAsia="仿宋" w:hAnsi="仿宋" w:cs="仿宋" w:hint="eastAsia"/>
          <w:sz w:val="32"/>
          <w:szCs w:val="32"/>
        </w:rPr>
        <w:t>应当在自受理之日起5个工作日内完成审查工作。</w:t>
      </w:r>
      <w:r w:rsidR="00861733" w:rsidRPr="00861733">
        <w:rPr>
          <w:rFonts w:ascii="仿宋" w:eastAsia="仿宋" w:hAnsi="仿宋" w:cs="仿宋" w:hint="eastAsia"/>
          <w:sz w:val="32"/>
          <w:szCs w:val="32"/>
        </w:rPr>
        <w:t>案件复杂的，经局长批准后可以延长5个工作日。</w:t>
      </w:r>
    </w:p>
    <w:p w:rsidR="00583909" w:rsidRPr="00583909" w:rsidRDefault="00861733" w:rsidP="00861733">
      <w:pPr>
        <w:ind w:firstLineChars="200" w:firstLine="640"/>
        <w:rPr>
          <w:rFonts w:ascii="仿宋" w:eastAsia="仿宋" w:hAnsi="仿宋" w:cs="仿宋"/>
          <w:sz w:val="32"/>
          <w:szCs w:val="32"/>
        </w:rPr>
      </w:pPr>
      <w:r w:rsidRPr="00861733">
        <w:rPr>
          <w:rFonts w:ascii="仿宋" w:eastAsia="仿宋" w:hAnsi="仿宋" w:cs="仿宋" w:hint="eastAsia"/>
          <w:sz w:val="32"/>
          <w:szCs w:val="32"/>
        </w:rPr>
        <w:t>第</w:t>
      </w:r>
      <w:r>
        <w:rPr>
          <w:rFonts w:ascii="仿宋" w:eastAsia="仿宋" w:hAnsi="仿宋" w:cs="仿宋" w:hint="eastAsia"/>
          <w:sz w:val="32"/>
          <w:szCs w:val="32"/>
        </w:rPr>
        <w:t>七</w:t>
      </w:r>
      <w:r w:rsidRPr="00861733">
        <w:rPr>
          <w:rFonts w:ascii="仿宋" w:eastAsia="仿宋" w:hAnsi="仿宋" w:cs="仿宋" w:hint="eastAsia"/>
          <w:sz w:val="32"/>
          <w:szCs w:val="32"/>
        </w:rPr>
        <w:t>条 重大行政执法案件经法制</w:t>
      </w:r>
      <w:r>
        <w:rPr>
          <w:rFonts w:ascii="仿宋" w:eastAsia="仿宋" w:hAnsi="仿宋" w:cs="仿宋" w:hint="eastAsia"/>
          <w:sz w:val="32"/>
          <w:szCs w:val="32"/>
        </w:rPr>
        <w:t>审核小组</w:t>
      </w:r>
      <w:r w:rsidRPr="00861733">
        <w:rPr>
          <w:rFonts w:ascii="仿宋" w:eastAsia="仿宋" w:hAnsi="仿宋" w:cs="仿宋" w:hint="eastAsia"/>
          <w:sz w:val="32"/>
          <w:szCs w:val="32"/>
        </w:rPr>
        <w:t>审核后，提交</w:t>
      </w:r>
      <w:r w:rsidR="00E17E16">
        <w:rPr>
          <w:rFonts w:ascii="仿宋" w:eastAsia="仿宋" w:hAnsi="仿宋" w:cs="仿宋" w:hint="eastAsia"/>
          <w:sz w:val="32"/>
          <w:szCs w:val="32"/>
        </w:rPr>
        <w:t>统战部班子</w:t>
      </w:r>
      <w:r w:rsidRPr="00861733">
        <w:rPr>
          <w:rFonts w:ascii="仿宋" w:eastAsia="仿宋" w:hAnsi="仿宋" w:cs="仿宋" w:hint="eastAsia"/>
          <w:sz w:val="32"/>
          <w:szCs w:val="32"/>
        </w:rPr>
        <w:t>会议研究决定。法制审核未通过的，不得做出</w:t>
      </w:r>
      <w:r w:rsidRPr="00861733">
        <w:rPr>
          <w:rFonts w:ascii="仿宋" w:eastAsia="仿宋" w:hAnsi="仿宋" w:cs="仿宋" w:hint="eastAsia"/>
          <w:sz w:val="32"/>
          <w:szCs w:val="32"/>
        </w:rPr>
        <w:lastRenderedPageBreak/>
        <w:t>决定。</w:t>
      </w:r>
    </w:p>
    <w:p w:rsidR="00583909" w:rsidRPr="00583909" w:rsidRDefault="00583909" w:rsidP="006C23A4">
      <w:pPr>
        <w:ind w:firstLineChars="200" w:firstLine="640"/>
        <w:rPr>
          <w:rFonts w:ascii="仿宋" w:eastAsia="仿宋" w:hAnsi="仿宋" w:cs="仿宋"/>
          <w:sz w:val="32"/>
          <w:szCs w:val="32"/>
        </w:rPr>
      </w:pPr>
      <w:r w:rsidRPr="00583909">
        <w:rPr>
          <w:rFonts w:ascii="仿宋" w:eastAsia="仿宋" w:hAnsi="仿宋" w:cs="仿宋" w:hint="eastAsia"/>
          <w:sz w:val="32"/>
          <w:szCs w:val="32"/>
        </w:rPr>
        <w:t xml:space="preserve">第八条 </w:t>
      </w:r>
      <w:r w:rsidR="00D11302">
        <w:rPr>
          <w:rFonts w:ascii="仿宋" w:eastAsia="仿宋" w:hAnsi="仿宋" w:cs="仿宋" w:hint="eastAsia"/>
          <w:sz w:val="32"/>
          <w:szCs w:val="32"/>
        </w:rPr>
        <w:t>民族宗教组</w:t>
      </w:r>
      <w:r w:rsidRPr="00583909">
        <w:rPr>
          <w:rFonts w:ascii="仿宋" w:eastAsia="仿宋" w:hAnsi="仿宋" w:cs="仿宋" w:hint="eastAsia"/>
          <w:sz w:val="32"/>
          <w:szCs w:val="32"/>
        </w:rPr>
        <w:t>、审核小组以及审议作出执法决定的相关人员因不履行或不正确履行职责，导致决定错误，造成严重后果的，依法追究相关人员的责任。</w:t>
      </w:r>
    </w:p>
    <w:p w:rsidR="00583909" w:rsidRPr="00583909" w:rsidRDefault="00583909" w:rsidP="00D704CD">
      <w:pPr>
        <w:ind w:firstLineChars="200" w:firstLine="640"/>
        <w:rPr>
          <w:rFonts w:ascii="仿宋" w:eastAsia="仿宋" w:hAnsi="仿宋" w:cs="仿宋"/>
          <w:sz w:val="32"/>
          <w:szCs w:val="32"/>
        </w:rPr>
      </w:pPr>
      <w:r w:rsidRPr="00583909">
        <w:rPr>
          <w:rFonts w:ascii="仿宋" w:eastAsia="仿宋" w:hAnsi="仿宋" w:cs="仿宋" w:hint="eastAsia"/>
          <w:sz w:val="32"/>
          <w:szCs w:val="32"/>
        </w:rPr>
        <w:t>第九条 本制度由民族</w:t>
      </w:r>
      <w:r w:rsidR="00D704CD">
        <w:rPr>
          <w:rFonts w:ascii="仿宋" w:eastAsia="仿宋" w:hAnsi="仿宋" w:cs="仿宋" w:hint="eastAsia"/>
          <w:sz w:val="32"/>
          <w:szCs w:val="32"/>
        </w:rPr>
        <w:t>和</w:t>
      </w:r>
      <w:r w:rsidRPr="00583909">
        <w:rPr>
          <w:rFonts w:ascii="仿宋" w:eastAsia="仿宋" w:hAnsi="仿宋" w:cs="仿宋" w:hint="eastAsia"/>
          <w:sz w:val="32"/>
          <w:szCs w:val="32"/>
        </w:rPr>
        <w:t>宗教事务局负责解释。</w:t>
      </w:r>
    </w:p>
    <w:p w:rsidR="00F43893" w:rsidRDefault="00583909" w:rsidP="00D704CD">
      <w:pPr>
        <w:ind w:firstLineChars="200" w:firstLine="640"/>
        <w:rPr>
          <w:rFonts w:ascii="仿宋" w:eastAsia="仿宋" w:hAnsi="仿宋" w:cs="仿宋"/>
          <w:sz w:val="32"/>
          <w:szCs w:val="32"/>
        </w:rPr>
      </w:pPr>
      <w:r w:rsidRPr="00583909">
        <w:rPr>
          <w:rFonts w:ascii="仿宋" w:eastAsia="仿宋" w:hAnsi="仿宋" w:cs="仿宋" w:hint="eastAsia"/>
          <w:sz w:val="32"/>
          <w:szCs w:val="32"/>
        </w:rPr>
        <w:t>第十条 本规定自公布之日起实施。</w:t>
      </w:r>
      <w:r w:rsidR="005C3BB0">
        <w:rPr>
          <w:rFonts w:ascii="仿宋" w:eastAsia="仿宋" w:hAnsi="仿宋" w:cs="仿宋" w:hint="eastAsia"/>
          <w:sz w:val="32"/>
          <w:szCs w:val="32"/>
        </w:rPr>
        <w:t xml:space="preserve">  </w:t>
      </w:r>
    </w:p>
    <w:p w:rsidR="00F43893" w:rsidRDefault="00F43893" w:rsidP="007F55B2">
      <w:pPr>
        <w:rPr>
          <w:rFonts w:ascii="仿宋" w:eastAsia="仿宋" w:hAnsi="仿宋" w:cs="仿宋"/>
          <w:sz w:val="32"/>
          <w:szCs w:val="32"/>
        </w:rPr>
      </w:pPr>
    </w:p>
    <w:p w:rsidR="00F43893" w:rsidRDefault="00F43893" w:rsidP="00D704CD">
      <w:pPr>
        <w:ind w:firstLineChars="200" w:firstLine="640"/>
        <w:rPr>
          <w:rFonts w:ascii="仿宋" w:eastAsia="仿宋" w:hAnsi="仿宋" w:cs="仿宋"/>
          <w:sz w:val="32"/>
          <w:szCs w:val="32"/>
        </w:rPr>
      </w:pPr>
    </w:p>
    <w:p w:rsidR="009B568C" w:rsidRDefault="00F43893" w:rsidP="00F43893">
      <w:pPr>
        <w:ind w:firstLineChars="200" w:firstLine="640"/>
        <w:jc w:val="right"/>
        <w:rPr>
          <w:rFonts w:ascii="仿宋" w:eastAsia="仿宋" w:hAnsi="仿宋" w:cs="仿宋"/>
          <w:sz w:val="32"/>
          <w:szCs w:val="32"/>
        </w:rPr>
      </w:pPr>
      <w:r>
        <w:rPr>
          <w:rFonts w:ascii="仿宋" w:eastAsia="仿宋" w:hAnsi="仿宋" w:cs="仿宋" w:hint="eastAsia"/>
          <w:sz w:val="32"/>
          <w:szCs w:val="32"/>
        </w:rPr>
        <w:t>20</w:t>
      </w:r>
      <w:r w:rsidR="00E17E16">
        <w:rPr>
          <w:rFonts w:ascii="仿宋" w:eastAsia="仿宋" w:hAnsi="仿宋" w:cs="仿宋" w:hint="eastAsia"/>
          <w:sz w:val="32"/>
          <w:szCs w:val="32"/>
        </w:rPr>
        <w:t>20</w:t>
      </w:r>
      <w:r>
        <w:rPr>
          <w:rFonts w:ascii="仿宋" w:eastAsia="仿宋" w:hAnsi="仿宋" w:cs="仿宋" w:hint="eastAsia"/>
          <w:sz w:val="32"/>
          <w:szCs w:val="32"/>
        </w:rPr>
        <w:t>年</w:t>
      </w:r>
      <w:r w:rsidR="00E17E16">
        <w:rPr>
          <w:rFonts w:ascii="仿宋" w:eastAsia="仿宋" w:hAnsi="仿宋" w:cs="仿宋" w:hint="eastAsia"/>
          <w:sz w:val="32"/>
          <w:szCs w:val="32"/>
        </w:rPr>
        <w:t>11</w:t>
      </w:r>
      <w:r>
        <w:rPr>
          <w:rFonts w:ascii="仿宋" w:eastAsia="仿宋" w:hAnsi="仿宋" w:cs="仿宋" w:hint="eastAsia"/>
          <w:sz w:val="32"/>
          <w:szCs w:val="32"/>
        </w:rPr>
        <w:t>月</w:t>
      </w:r>
      <w:r w:rsidR="00E17E16">
        <w:rPr>
          <w:rFonts w:ascii="仿宋" w:eastAsia="仿宋" w:hAnsi="仿宋" w:cs="仿宋" w:hint="eastAsia"/>
          <w:sz w:val="32"/>
          <w:szCs w:val="32"/>
        </w:rPr>
        <w:t>30</w:t>
      </w:r>
      <w:r>
        <w:rPr>
          <w:rFonts w:ascii="仿宋" w:eastAsia="仿宋" w:hAnsi="仿宋" w:cs="仿宋" w:hint="eastAsia"/>
          <w:sz w:val="32"/>
          <w:szCs w:val="32"/>
        </w:rPr>
        <w:t>日</w:t>
      </w:r>
      <w:r w:rsidR="005C3BB0">
        <w:rPr>
          <w:rFonts w:ascii="仿宋" w:eastAsia="仿宋" w:hAnsi="仿宋" w:cs="仿宋" w:hint="eastAsia"/>
          <w:sz w:val="32"/>
          <w:szCs w:val="32"/>
        </w:rPr>
        <w:t xml:space="preserve">        </w:t>
      </w:r>
    </w:p>
    <w:sectPr w:rsidR="009B568C" w:rsidSect="009B568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136" w:rsidRDefault="004D4136" w:rsidP="009B568C">
      <w:r>
        <w:separator/>
      </w:r>
    </w:p>
  </w:endnote>
  <w:endnote w:type="continuationSeparator" w:id="1">
    <w:p w:rsidR="004D4136" w:rsidRDefault="004D4136" w:rsidP="009B5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68C" w:rsidRDefault="00BB199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B568C" w:rsidRDefault="00BB1993">
                <w:pPr>
                  <w:pStyle w:val="a3"/>
                </w:pPr>
                <w:r>
                  <w:rPr>
                    <w:rFonts w:hint="eastAsia"/>
                  </w:rPr>
                  <w:fldChar w:fldCharType="begin"/>
                </w:r>
                <w:r w:rsidR="005C3BB0">
                  <w:rPr>
                    <w:rFonts w:hint="eastAsia"/>
                  </w:rPr>
                  <w:instrText xml:space="preserve"> PAGE  \* MERGEFORMAT </w:instrText>
                </w:r>
                <w:r>
                  <w:rPr>
                    <w:rFonts w:hint="eastAsia"/>
                  </w:rPr>
                  <w:fldChar w:fldCharType="separate"/>
                </w:r>
                <w:r w:rsidR="00E17E16">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136" w:rsidRDefault="004D4136" w:rsidP="009B568C">
      <w:r>
        <w:separator/>
      </w:r>
    </w:p>
  </w:footnote>
  <w:footnote w:type="continuationSeparator" w:id="1">
    <w:p w:rsidR="004D4136" w:rsidRDefault="004D4136" w:rsidP="009B56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68C"/>
    <w:rsid w:val="000E3C78"/>
    <w:rsid w:val="00176243"/>
    <w:rsid w:val="00182414"/>
    <w:rsid w:val="00294386"/>
    <w:rsid w:val="0035193F"/>
    <w:rsid w:val="004D4136"/>
    <w:rsid w:val="00573443"/>
    <w:rsid w:val="00583909"/>
    <w:rsid w:val="005C3BB0"/>
    <w:rsid w:val="005E69D1"/>
    <w:rsid w:val="006C23A4"/>
    <w:rsid w:val="007111EA"/>
    <w:rsid w:val="007F55B2"/>
    <w:rsid w:val="00861733"/>
    <w:rsid w:val="00872521"/>
    <w:rsid w:val="008B39CF"/>
    <w:rsid w:val="009B568C"/>
    <w:rsid w:val="00A715C9"/>
    <w:rsid w:val="00AC0EE8"/>
    <w:rsid w:val="00B00D2E"/>
    <w:rsid w:val="00BB1993"/>
    <w:rsid w:val="00BD4608"/>
    <w:rsid w:val="00C71DD9"/>
    <w:rsid w:val="00CE1DB4"/>
    <w:rsid w:val="00D11302"/>
    <w:rsid w:val="00D64CF0"/>
    <w:rsid w:val="00D704CD"/>
    <w:rsid w:val="00DD7AFB"/>
    <w:rsid w:val="00E17E16"/>
    <w:rsid w:val="00E8254D"/>
    <w:rsid w:val="00F2335F"/>
    <w:rsid w:val="00F41CFC"/>
    <w:rsid w:val="00F43893"/>
    <w:rsid w:val="0B4B74F5"/>
    <w:rsid w:val="21092B6D"/>
    <w:rsid w:val="3AB264BA"/>
    <w:rsid w:val="65B44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68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B568C"/>
    <w:pPr>
      <w:tabs>
        <w:tab w:val="center" w:pos="4153"/>
        <w:tab w:val="right" w:pos="8306"/>
      </w:tabs>
      <w:snapToGrid w:val="0"/>
      <w:jc w:val="left"/>
    </w:pPr>
    <w:rPr>
      <w:sz w:val="18"/>
    </w:rPr>
  </w:style>
  <w:style w:type="paragraph" w:styleId="a4">
    <w:name w:val="header"/>
    <w:basedOn w:val="a"/>
    <w:qFormat/>
    <w:rsid w:val="009B568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967321927">
      <w:bodyDiv w:val="1"/>
      <w:marLeft w:val="0"/>
      <w:marRight w:val="0"/>
      <w:marTop w:val="0"/>
      <w:marBottom w:val="0"/>
      <w:divBdr>
        <w:top w:val="none" w:sz="0" w:space="0" w:color="auto"/>
        <w:left w:val="none" w:sz="0" w:space="0" w:color="auto"/>
        <w:bottom w:val="none" w:sz="0" w:space="0" w:color="auto"/>
        <w:right w:val="none" w:sz="0" w:space="0" w:color="auto"/>
      </w:divBdr>
      <w:divsChild>
        <w:div w:id="1588415705">
          <w:marLeft w:val="0"/>
          <w:marRight w:val="0"/>
          <w:marTop w:val="0"/>
          <w:marBottom w:val="0"/>
          <w:divBdr>
            <w:top w:val="none" w:sz="0" w:space="0" w:color="auto"/>
            <w:left w:val="none" w:sz="0" w:space="0" w:color="auto"/>
            <w:bottom w:val="none" w:sz="0" w:space="0" w:color="auto"/>
            <w:right w:val="none" w:sz="0" w:space="0" w:color="auto"/>
          </w:divBdr>
          <w:divsChild>
            <w:div w:id="941378965">
              <w:marLeft w:val="0"/>
              <w:marRight w:val="0"/>
              <w:marTop w:val="225"/>
              <w:marBottom w:val="225"/>
              <w:divBdr>
                <w:top w:val="none" w:sz="0" w:space="0" w:color="auto"/>
                <w:left w:val="none" w:sz="0" w:space="0" w:color="auto"/>
                <w:bottom w:val="none" w:sz="0" w:space="0" w:color="auto"/>
                <w:right w:val="none" w:sz="0" w:space="0" w:color="auto"/>
              </w:divBdr>
              <w:divsChild>
                <w:div w:id="3873849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44168708">
      <w:bodyDiv w:val="1"/>
      <w:marLeft w:val="0"/>
      <w:marRight w:val="0"/>
      <w:marTop w:val="0"/>
      <w:marBottom w:val="0"/>
      <w:divBdr>
        <w:top w:val="none" w:sz="0" w:space="0" w:color="auto"/>
        <w:left w:val="none" w:sz="0" w:space="0" w:color="auto"/>
        <w:bottom w:val="none" w:sz="0" w:space="0" w:color="auto"/>
        <w:right w:val="none" w:sz="0" w:space="0" w:color="auto"/>
      </w:divBdr>
      <w:divsChild>
        <w:div w:id="1289510046">
          <w:marLeft w:val="0"/>
          <w:marRight w:val="0"/>
          <w:marTop w:val="0"/>
          <w:marBottom w:val="0"/>
          <w:divBdr>
            <w:top w:val="none" w:sz="0" w:space="0" w:color="auto"/>
            <w:left w:val="none" w:sz="0" w:space="0" w:color="auto"/>
            <w:bottom w:val="none" w:sz="0" w:space="0" w:color="auto"/>
            <w:right w:val="none" w:sz="0" w:space="0" w:color="auto"/>
          </w:divBdr>
          <w:divsChild>
            <w:div w:id="1155799107">
              <w:marLeft w:val="0"/>
              <w:marRight w:val="0"/>
              <w:marTop w:val="0"/>
              <w:marBottom w:val="0"/>
              <w:divBdr>
                <w:top w:val="single" w:sz="6" w:space="0" w:color="D9D9D9"/>
                <w:left w:val="single" w:sz="6" w:space="0" w:color="D9D9D9"/>
                <w:bottom w:val="single" w:sz="6" w:space="0" w:color="D9D9D9"/>
                <w:right w:val="single" w:sz="6" w:space="0" w:color="D9D9D9"/>
              </w:divBdr>
              <w:divsChild>
                <w:div w:id="1747264429">
                  <w:marLeft w:val="0"/>
                  <w:marRight w:val="0"/>
                  <w:marTop w:val="0"/>
                  <w:marBottom w:val="0"/>
                  <w:divBdr>
                    <w:top w:val="none" w:sz="0" w:space="0" w:color="auto"/>
                    <w:left w:val="none" w:sz="0" w:space="0" w:color="auto"/>
                    <w:bottom w:val="none" w:sz="0" w:space="0" w:color="auto"/>
                    <w:right w:val="none" w:sz="0" w:space="0" w:color="auto"/>
                  </w:divBdr>
                  <w:divsChild>
                    <w:div w:id="2351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98834">
      <w:bodyDiv w:val="1"/>
      <w:marLeft w:val="0"/>
      <w:marRight w:val="0"/>
      <w:marTop w:val="0"/>
      <w:marBottom w:val="0"/>
      <w:divBdr>
        <w:top w:val="none" w:sz="0" w:space="0" w:color="auto"/>
        <w:left w:val="none" w:sz="0" w:space="0" w:color="auto"/>
        <w:bottom w:val="none" w:sz="0" w:space="0" w:color="auto"/>
        <w:right w:val="none" w:sz="0" w:space="0" w:color="auto"/>
      </w:divBdr>
      <w:divsChild>
        <w:div w:id="1749425153">
          <w:marLeft w:val="0"/>
          <w:marRight w:val="0"/>
          <w:marTop w:val="0"/>
          <w:marBottom w:val="0"/>
          <w:divBdr>
            <w:top w:val="none" w:sz="0" w:space="0" w:color="auto"/>
            <w:left w:val="none" w:sz="0" w:space="0" w:color="auto"/>
            <w:bottom w:val="none" w:sz="0" w:space="0" w:color="auto"/>
            <w:right w:val="none" w:sz="0" w:space="0" w:color="auto"/>
          </w:divBdr>
          <w:divsChild>
            <w:div w:id="571893136">
              <w:marLeft w:val="0"/>
              <w:marRight w:val="0"/>
              <w:marTop w:val="0"/>
              <w:marBottom w:val="0"/>
              <w:divBdr>
                <w:top w:val="none" w:sz="0" w:space="0" w:color="auto"/>
                <w:left w:val="none" w:sz="0" w:space="0" w:color="auto"/>
                <w:bottom w:val="none" w:sz="0" w:space="0" w:color="auto"/>
                <w:right w:val="none" w:sz="0" w:space="0" w:color="auto"/>
              </w:divBdr>
              <w:divsChild>
                <w:div w:id="1927222081">
                  <w:marLeft w:val="0"/>
                  <w:marRight w:val="0"/>
                  <w:marTop w:val="0"/>
                  <w:marBottom w:val="0"/>
                  <w:divBdr>
                    <w:top w:val="single" w:sz="6" w:space="15" w:color="FF0000"/>
                    <w:left w:val="single" w:sz="6" w:space="8" w:color="FF0000"/>
                    <w:bottom w:val="single" w:sz="6" w:space="0" w:color="FF0000"/>
                    <w:right w:val="single" w:sz="6" w:space="8" w:color="FF0000"/>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37</cp:revision>
  <dcterms:created xsi:type="dcterms:W3CDTF">2014-10-29T12:08:00Z</dcterms:created>
  <dcterms:modified xsi:type="dcterms:W3CDTF">2020-11-30T07:48:00Z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