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中宋"/>
          <w:b/>
          <w:sz w:val="36"/>
          <w:szCs w:val="36"/>
        </w:rPr>
      </w:pPr>
    </w:p>
    <w:p>
      <w:pPr>
        <w:jc w:val="center"/>
        <w:rPr>
          <w:rFonts w:eastAsia="华文中宋"/>
          <w:b/>
          <w:sz w:val="36"/>
          <w:szCs w:val="36"/>
        </w:rPr>
      </w:pPr>
    </w:p>
    <w:p>
      <w:pPr>
        <w:jc w:val="center"/>
        <w:rPr>
          <w:rFonts w:eastAsia="华文中宋"/>
          <w:b/>
          <w:sz w:val="36"/>
          <w:szCs w:val="36"/>
        </w:rPr>
      </w:pPr>
    </w:p>
    <w:p>
      <w:pPr>
        <w:jc w:val="center"/>
        <w:rPr>
          <w:rFonts w:eastAsia="华文中宋"/>
          <w:b/>
          <w:sz w:val="36"/>
          <w:szCs w:val="36"/>
        </w:rPr>
      </w:pPr>
      <w:r>
        <w:rPr>
          <w:rFonts w:eastAsia="华文中宋"/>
          <w:b/>
          <w:sz w:val="36"/>
          <w:szCs w:val="36"/>
        </w:rPr>
        <w:t xml:space="preserve">  </w:t>
      </w:r>
    </w:p>
    <w:p>
      <w:pPr>
        <w:jc w:val="center"/>
        <w:rPr>
          <w:b/>
          <w:sz w:val="52"/>
          <w:szCs w:val="52"/>
        </w:rPr>
      </w:pPr>
      <w:r>
        <w:rPr>
          <w:rFonts w:hint="eastAsia"/>
          <w:b/>
          <w:sz w:val="52"/>
          <w:szCs w:val="52"/>
        </w:rPr>
        <w:t>清原满族自治县南山城镇</w:t>
      </w:r>
    </w:p>
    <w:p>
      <w:pPr>
        <w:jc w:val="center"/>
        <w:rPr>
          <w:b/>
          <w:sz w:val="52"/>
          <w:szCs w:val="52"/>
        </w:rPr>
      </w:pPr>
      <w:r>
        <w:rPr>
          <w:b/>
          <w:sz w:val="52"/>
          <w:szCs w:val="52"/>
        </w:rPr>
        <w:t>土地利用总体规划</w:t>
      </w:r>
    </w:p>
    <w:p>
      <w:pPr>
        <w:jc w:val="center"/>
        <w:rPr>
          <w:b/>
          <w:sz w:val="52"/>
          <w:szCs w:val="52"/>
        </w:rPr>
      </w:pPr>
      <w:bookmarkStart w:id="0" w:name="_Toc260729482"/>
      <w:bookmarkStart w:id="1" w:name="_Toc304981650"/>
      <w:bookmarkStart w:id="2" w:name="_Toc259818071"/>
      <w:bookmarkStart w:id="3" w:name="_Toc261350951"/>
      <w:bookmarkStart w:id="4" w:name="_Toc261100623"/>
      <w:bookmarkStart w:id="5" w:name="_Toc261335202"/>
      <w:bookmarkStart w:id="6" w:name="_Toc260587283"/>
      <w:bookmarkStart w:id="7" w:name="_Toc263327190"/>
      <w:bookmarkStart w:id="8" w:name="_Toc261332035"/>
      <w:bookmarkStart w:id="9" w:name="_Toc265917520"/>
      <w:bookmarkStart w:id="10" w:name="_Toc262047407"/>
      <w:bookmarkStart w:id="11" w:name="_Toc264012428"/>
      <w:bookmarkStart w:id="12" w:name="_Toc260128088"/>
      <w:bookmarkStart w:id="13" w:name="_Toc266347174"/>
      <w:bookmarkStart w:id="14" w:name="_Toc260127972"/>
      <w:bookmarkStart w:id="15" w:name="_Toc260587387"/>
      <w:bookmarkStart w:id="16" w:name="_Toc260071201"/>
      <w:bookmarkStart w:id="17" w:name="_Toc269993717"/>
      <w:bookmarkStart w:id="18" w:name="_Toc263274921"/>
      <w:r>
        <w:rPr>
          <w:b/>
          <w:sz w:val="52"/>
          <w:szCs w:val="52"/>
        </w:rPr>
        <w:t>（2006-2020年）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b/>
          <w:sz w:val="52"/>
          <w:szCs w:val="52"/>
        </w:rPr>
        <w:t xml:space="preserve">调整方案 </w:t>
      </w:r>
    </w:p>
    <w:p>
      <w:pPr>
        <w:jc w:val="center"/>
        <w:rPr>
          <w:rFonts w:eastAsia="华文中宋"/>
          <w:b/>
          <w:sz w:val="36"/>
          <w:szCs w:val="36"/>
        </w:rPr>
      </w:pPr>
    </w:p>
    <w:p>
      <w:pPr>
        <w:jc w:val="center"/>
        <w:rPr>
          <w:rFonts w:eastAsia="华文中宋"/>
          <w:b/>
          <w:sz w:val="30"/>
          <w:szCs w:val="30"/>
        </w:rPr>
      </w:pPr>
    </w:p>
    <w:p>
      <w:pPr>
        <w:jc w:val="center"/>
        <w:rPr>
          <w:rFonts w:eastAsia="新宋体"/>
          <w:b/>
          <w:sz w:val="30"/>
          <w:szCs w:val="30"/>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rPr>
          <w:rFonts w:eastAsia="新宋体"/>
          <w:b/>
          <w:sz w:val="48"/>
          <w:szCs w:val="48"/>
        </w:rPr>
      </w:pPr>
    </w:p>
    <w:p>
      <w:pPr>
        <w:jc w:val="center"/>
        <w:rPr>
          <w:rFonts w:eastAsia="楷体"/>
          <w:b/>
          <w:sz w:val="44"/>
          <w:szCs w:val="44"/>
        </w:rPr>
      </w:pPr>
      <w:r>
        <w:rPr>
          <w:rFonts w:hint="eastAsia" w:eastAsia="楷体"/>
          <w:b/>
          <w:sz w:val="44"/>
          <w:szCs w:val="44"/>
        </w:rPr>
        <w:t>南山城镇</w:t>
      </w:r>
      <w:r>
        <w:rPr>
          <w:rFonts w:eastAsia="楷体"/>
          <w:b/>
          <w:sz w:val="44"/>
          <w:szCs w:val="44"/>
        </w:rPr>
        <w:t>人民政府</w:t>
      </w:r>
    </w:p>
    <w:p>
      <w:pPr>
        <w:jc w:val="center"/>
        <w:rPr>
          <w:rFonts w:eastAsia="楷体"/>
          <w:b/>
          <w:sz w:val="36"/>
          <w:szCs w:val="36"/>
        </w:rPr>
      </w:pPr>
      <w:r>
        <w:rPr>
          <w:rFonts w:eastAsia="楷体"/>
          <w:b/>
          <w:sz w:val="36"/>
          <w:szCs w:val="36"/>
        </w:rPr>
        <w:t>二〇一</w:t>
      </w:r>
      <w:r>
        <w:rPr>
          <w:rFonts w:hint="eastAsia" w:eastAsia="楷体"/>
          <w:b/>
          <w:sz w:val="36"/>
          <w:szCs w:val="36"/>
        </w:rPr>
        <w:t>八</w:t>
      </w:r>
      <w:r>
        <w:rPr>
          <w:rFonts w:eastAsia="楷体"/>
          <w:b/>
          <w:sz w:val="36"/>
          <w:szCs w:val="36"/>
        </w:rPr>
        <w:t>年</w:t>
      </w:r>
      <w:r>
        <w:rPr>
          <w:rFonts w:hint="eastAsia" w:eastAsia="楷体"/>
          <w:b/>
          <w:sz w:val="36"/>
          <w:szCs w:val="36"/>
        </w:rPr>
        <w:t>一</w:t>
      </w:r>
      <w:r>
        <w:rPr>
          <w:rFonts w:eastAsia="楷体"/>
          <w:b/>
          <w:sz w:val="36"/>
          <w:szCs w:val="36"/>
        </w:rPr>
        <w:t>月</w:t>
      </w:r>
    </w:p>
    <w:p>
      <w:pPr>
        <w:jc w:val="center"/>
        <w:rPr>
          <w:rFonts w:eastAsia="新宋体"/>
          <w:b/>
          <w:sz w:val="36"/>
          <w:szCs w:val="36"/>
        </w:rPr>
      </w:pPr>
    </w:p>
    <w:p>
      <w:pPr>
        <w:jc w:val="center"/>
        <w:rPr>
          <w:rFonts w:eastAsia="新宋体"/>
          <w:b/>
          <w:sz w:val="36"/>
          <w:szCs w:val="36"/>
        </w:rPr>
      </w:pPr>
    </w:p>
    <w:p>
      <w:pPr>
        <w:jc w:val="center"/>
        <w:rPr>
          <w:rFonts w:eastAsia="新宋体"/>
          <w:b/>
          <w:sz w:val="36"/>
          <w:szCs w:val="36"/>
        </w:rPr>
        <w:sectPr>
          <w:headerReference r:id="rId3" w:type="default"/>
          <w:pgSz w:w="11906" w:h="16838"/>
          <w:pgMar w:top="1418" w:right="1418" w:bottom="1418" w:left="1531" w:header="851" w:footer="992" w:gutter="227"/>
          <w:pgNumType w:start="1"/>
          <w:cols w:space="425" w:num="1"/>
          <w:docGrid w:type="lines" w:linePitch="312" w:charSpace="0"/>
        </w:sectPr>
      </w:pPr>
    </w:p>
    <w:p>
      <w:pPr>
        <w:pStyle w:val="12"/>
        <w:adjustRightInd w:val="0"/>
        <w:snapToGrid w:val="0"/>
        <w:spacing w:beforeLines="100" w:afterLines="100"/>
        <w:ind w:firstLine="0" w:firstLineChars="0"/>
        <w:jc w:val="center"/>
        <w:rPr>
          <w:rFonts w:eastAsia="黑体"/>
          <w:sz w:val="36"/>
          <w:szCs w:val="36"/>
        </w:rPr>
      </w:pPr>
      <w:r>
        <w:rPr>
          <w:rFonts w:eastAsia="黑体"/>
          <w:sz w:val="36"/>
          <w:szCs w:val="36"/>
        </w:rPr>
        <w:t>目  录</w:t>
      </w:r>
    </w:p>
    <w:p>
      <w:pPr>
        <w:pStyle w:val="16"/>
        <w:rPr>
          <w:rFonts w:ascii="Times New Roman" w:hAnsi="Times New Roman" w:eastAsia="仿宋"/>
          <w:sz w:val="22"/>
          <w:szCs w:val="22"/>
        </w:rPr>
      </w:pPr>
      <w:r>
        <w:rPr>
          <w:rFonts w:ascii="Times New Roman" w:hAnsi="Times New Roman" w:eastAsia="仿宋"/>
          <w:b/>
          <w:sz w:val="96"/>
          <w:szCs w:val="24"/>
        </w:rPr>
        <w:fldChar w:fldCharType="begin"/>
      </w:r>
      <w:r>
        <w:rPr>
          <w:rFonts w:ascii="Times New Roman" w:hAnsi="Times New Roman" w:eastAsia="仿宋"/>
          <w:b/>
          <w:sz w:val="96"/>
          <w:szCs w:val="24"/>
        </w:rPr>
        <w:instrText xml:space="preserve"> TOC \o "1-2" \h \z \u </w:instrText>
      </w:r>
      <w:r>
        <w:rPr>
          <w:rFonts w:ascii="Times New Roman" w:hAnsi="Times New Roman" w:eastAsia="仿宋"/>
          <w:b/>
          <w:sz w:val="96"/>
          <w:szCs w:val="24"/>
        </w:rPr>
        <w:fldChar w:fldCharType="separate"/>
      </w:r>
      <w:r>
        <w:fldChar w:fldCharType="begin"/>
      </w:r>
      <w:r>
        <w:instrText xml:space="preserve"> HYPERLINK \l "_Toc501034251" </w:instrText>
      </w:r>
      <w:r>
        <w:fldChar w:fldCharType="separate"/>
      </w:r>
      <w:r>
        <w:rPr>
          <w:rStyle w:val="24"/>
          <w:rFonts w:ascii="Times New Roman" w:hAnsi="仿宋" w:eastAsia="仿宋"/>
          <w:sz w:val="32"/>
        </w:rPr>
        <w:t>前</w:t>
      </w:r>
      <w:r>
        <w:rPr>
          <w:rStyle w:val="24"/>
          <w:rFonts w:ascii="Times New Roman" w:hAnsi="Times New Roman" w:eastAsia="仿宋"/>
          <w:sz w:val="32"/>
        </w:rPr>
        <w:t xml:space="preserve">  </w:t>
      </w:r>
      <w:r>
        <w:rPr>
          <w:rStyle w:val="24"/>
          <w:rFonts w:ascii="Times New Roman" w:hAnsi="仿宋" w:eastAsia="仿宋"/>
          <w:sz w:val="32"/>
        </w:rPr>
        <w:t>言</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_Toc501034251 \h </w:instrText>
      </w:r>
      <w:r>
        <w:rPr>
          <w:rFonts w:ascii="Times New Roman" w:hAnsi="Times New Roman" w:eastAsia="仿宋"/>
          <w:sz w:val="32"/>
        </w:rPr>
        <w:fldChar w:fldCharType="separate"/>
      </w:r>
      <w:r>
        <w:rPr>
          <w:rFonts w:ascii="Times New Roman" w:hAnsi="Times New Roman" w:eastAsia="仿宋"/>
          <w:sz w:val="32"/>
        </w:rPr>
        <w:t>1</w:t>
      </w:r>
      <w:r>
        <w:rPr>
          <w:rFonts w:ascii="Times New Roman" w:hAnsi="Times New Roman" w:eastAsia="仿宋"/>
          <w:sz w:val="32"/>
        </w:rPr>
        <w:fldChar w:fldCharType="end"/>
      </w:r>
      <w:r>
        <w:rPr>
          <w:rFonts w:ascii="Times New Roman" w:hAnsi="Times New Roman" w:eastAsia="仿宋"/>
          <w:sz w:val="32"/>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"_Toc501034252" </w:instrText>
      </w:r>
      <w:r>
        <w:fldChar w:fldCharType="separate"/>
      </w:r>
      <w:r>
        <w:rPr>
          <w:rStyle w:val="24"/>
          <w:rFonts w:ascii="Times New Roman" w:hAnsi="仿宋" w:eastAsia="仿宋"/>
          <w:sz w:val="32"/>
        </w:rPr>
        <w:t>一、</w:t>
      </w:r>
      <w:r>
        <w:rPr>
          <w:rFonts w:ascii="Times New Roman" w:hAnsi="Times New Roman" w:eastAsia="仿宋"/>
          <w:sz w:val="22"/>
          <w:szCs w:val="22"/>
        </w:rPr>
        <w:tab/>
      </w:r>
      <w:r>
        <w:rPr>
          <w:rStyle w:val="24"/>
          <w:rFonts w:ascii="Times New Roman" w:hAnsi="仿宋" w:eastAsia="仿宋"/>
          <w:sz w:val="32"/>
        </w:rPr>
        <w:t>调整指导思想</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_Toc501034252 \h </w:instrText>
      </w:r>
      <w:r>
        <w:rPr>
          <w:rFonts w:ascii="Times New Roman" w:hAnsi="Times New Roman" w:eastAsia="仿宋"/>
          <w:sz w:val="32"/>
        </w:rPr>
        <w:fldChar w:fldCharType="separate"/>
      </w:r>
      <w:r>
        <w:rPr>
          <w:rFonts w:ascii="Times New Roman" w:hAnsi="Times New Roman" w:eastAsia="仿宋"/>
          <w:sz w:val="32"/>
        </w:rPr>
        <w:t>3</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"_Toc501034253"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指导思想</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_Toc501034253 \h </w:instrText>
      </w:r>
      <w:r>
        <w:rPr>
          <w:rFonts w:ascii="Times New Roman" w:hAnsi="Times New Roman" w:eastAsia="仿宋"/>
          <w:sz w:val="28"/>
        </w:rPr>
        <w:fldChar w:fldCharType="separate"/>
      </w:r>
      <w:r>
        <w:rPr>
          <w:rFonts w:ascii="Times New Roman" w:hAnsi="Times New Roman" w:eastAsia="仿宋"/>
          <w:sz w:val="28"/>
        </w:rPr>
        <w:t>3</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"_Toc501034254"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调整原则</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_Toc501034254 \h </w:instrText>
      </w:r>
      <w:r>
        <w:rPr>
          <w:rFonts w:ascii="Times New Roman" w:hAnsi="Times New Roman" w:eastAsia="仿宋"/>
          <w:sz w:val="28"/>
        </w:rPr>
        <w:fldChar w:fldCharType="separate"/>
      </w:r>
      <w:r>
        <w:rPr>
          <w:rFonts w:ascii="Times New Roman" w:hAnsi="Times New Roman" w:eastAsia="仿宋"/>
          <w:sz w:val="28"/>
        </w:rPr>
        <w:t>3</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"_Toc501034255" </w:instrText>
      </w:r>
      <w:r>
        <w:fldChar w:fldCharType="separate"/>
      </w:r>
      <w:r>
        <w:rPr>
          <w:rStyle w:val="24"/>
          <w:rFonts w:ascii="Times New Roman" w:hAnsi="仿宋" w:eastAsia="仿宋"/>
          <w:sz w:val="32"/>
        </w:rPr>
        <w:t>二、</w:t>
      </w:r>
      <w:r>
        <w:rPr>
          <w:rFonts w:ascii="Times New Roman" w:hAnsi="Times New Roman" w:eastAsia="仿宋"/>
          <w:sz w:val="22"/>
          <w:szCs w:val="22"/>
        </w:rPr>
        <w:tab/>
      </w:r>
      <w:r>
        <w:rPr>
          <w:rStyle w:val="24"/>
          <w:rFonts w:ascii="Times New Roman" w:hAnsi="仿宋" w:eastAsia="仿宋"/>
          <w:sz w:val="32"/>
        </w:rPr>
        <w:t>主要规划目标调整</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_Toc501034255 \h </w:instrText>
      </w:r>
      <w:r>
        <w:rPr>
          <w:rFonts w:ascii="Times New Roman" w:hAnsi="Times New Roman" w:eastAsia="仿宋"/>
          <w:sz w:val="32"/>
        </w:rPr>
        <w:fldChar w:fldCharType="separate"/>
      </w:r>
      <w:r>
        <w:rPr>
          <w:rFonts w:ascii="Times New Roman" w:hAnsi="Times New Roman" w:eastAsia="仿宋"/>
          <w:sz w:val="32"/>
        </w:rPr>
        <w:t>5</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"_Toc501034256"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耕地和基本农田保护任务</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_Toc501034256 \h </w:instrText>
      </w:r>
      <w:r>
        <w:rPr>
          <w:rFonts w:ascii="Times New Roman" w:hAnsi="Times New Roman" w:eastAsia="仿宋"/>
          <w:sz w:val="28"/>
        </w:rPr>
        <w:fldChar w:fldCharType="separate"/>
      </w:r>
      <w:r>
        <w:rPr>
          <w:rFonts w:ascii="Times New Roman" w:hAnsi="Times New Roman" w:eastAsia="仿宋"/>
          <w:sz w:val="28"/>
        </w:rPr>
        <w:t>5</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"_Toc501034257"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建设用地控制指标</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_Toc501034257 \h </w:instrText>
      </w:r>
      <w:r>
        <w:rPr>
          <w:rFonts w:ascii="Times New Roman" w:hAnsi="Times New Roman" w:eastAsia="仿宋"/>
          <w:sz w:val="28"/>
        </w:rPr>
        <w:fldChar w:fldCharType="separate"/>
      </w:r>
      <w:r>
        <w:rPr>
          <w:rFonts w:ascii="Times New Roman" w:hAnsi="Times New Roman" w:eastAsia="仿宋"/>
          <w:sz w:val="28"/>
        </w:rPr>
        <w:t>5</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"_Toc501034258"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其他规划调控指标</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_Toc501034258 \h </w:instrText>
      </w:r>
      <w:r>
        <w:rPr>
          <w:rFonts w:ascii="Times New Roman" w:hAnsi="Times New Roman" w:eastAsia="仿宋"/>
          <w:sz w:val="28"/>
        </w:rPr>
        <w:fldChar w:fldCharType="separate"/>
      </w:r>
      <w:r>
        <w:rPr>
          <w:rFonts w:ascii="Times New Roman" w:hAnsi="Times New Roman" w:eastAsia="仿宋"/>
          <w:sz w:val="28"/>
        </w:rPr>
        <w:t>5</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"_Toc501034259" </w:instrText>
      </w:r>
      <w:r>
        <w:fldChar w:fldCharType="separate"/>
      </w:r>
      <w:r>
        <w:rPr>
          <w:rStyle w:val="24"/>
          <w:rFonts w:ascii="Times New Roman" w:hAnsi="仿宋" w:eastAsia="仿宋"/>
          <w:sz w:val="32"/>
        </w:rPr>
        <w:t>三、</w:t>
      </w:r>
      <w:r>
        <w:rPr>
          <w:rFonts w:ascii="Times New Roman" w:hAnsi="Times New Roman" w:eastAsia="仿宋"/>
          <w:sz w:val="22"/>
          <w:szCs w:val="22"/>
        </w:rPr>
        <w:tab/>
      </w:r>
      <w:r>
        <w:rPr>
          <w:rStyle w:val="24"/>
          <w:rFonts w:ascii="Times New Roman" w:hAnsi="仿宋" w:eastAsia="仿宋"/>
          <w:sz w:val="32"/>
        </w:rPr>
        <w:t>耕地和基本农田管护</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_Toc501034259 \h </w:instrText>
      </w:r>
      <w:r>
        <w:rPr>
          <w:rFonts w:ascii="Times New Roman" w:hAnsi="Times New Roman" w:eastAsia="仿宋"/>
          <w:sz w:val="32"/>
        </w:rPr>
        <w:fldChar w:fldCharType="separate"/>
      </w:r>
      <w:r>
        <w:rPr>
          <w:rFonts w:ascii="Times New Roman" w:hAnsi="Times New Roman" w:eastAsia="仿宋"/>
          <w:sz w:val="32"/>
        </w:rPr>
        <w:t>6</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"_Toc501034260"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强化耕地数量与质量保护</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_Toc501034260 \h </w:instrText>
      </w:r>
      <w:r>
        <w:rPr>
          <w:rFonts w:ascii="Times New Roman" w:hAnsi="Times New Roman" w:eastAsia="仿宋"/>
          <w:sz w:val="28"/>
        </w:rPr>
        <w:fldChar w:fldCharType="separate"/>
      </w:r>
      <w:r>
        <w:rPr>
          <w:rFonts w:ascii="Times New Roman" w:hAnsi="Times New Roman" w:eastAsia="仿宋"/>
          <w:sz w:val="28"/>
        </w:rPr>
        <w:t>6</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"_Toc501034261"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推进基本农田全面管护</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_Toc501034261 \h </w:instrText>
      </w:r>
      <w:r>
        <w:rPr>
          <w:rFonts w:ascii="Times New Roman" w:hAnsi="Times New Roman" w:eastAsia="仿宋"/>
          <w:sz w:val="28"/>
        </w:rPr>
        <w:fldChar w:fldCharType="separate"/>
      </w:r>
      <w:r>
        <w:rPr>
          <w:rFonts w:ascii="Times New Roman" w:hAnsi="Times New Roman" w:eastAsia="仿宋"/>
          <w:sz w:val="28"/>
        </w:rPr>
        <w:t>8</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"_Toc501034262" </w:instrText>
      </w:r>
      <w:r>
        <w:fldChar w:fldCharType="separate"/>
      </w:r>
      <w:r>
        <w:rPr>
          <w:rStyle w:val="24"/>
          <w:rFonts w:ascii="Times New Roman" w:hAnsi="仿宋" w:eastAsia="仿宋"/>
          <w:sz w:val="32"/>
        </w:rPr>
        <w:t>四、</w:t>
      </w:r>
      <w:r>
        <w:rPr>
          <w:rFonts w:ascii="Times New Roman" w:hAnsi="Times New Roman" w:eastAsia="仿宋"/>
          <w:sz w:val="22"/>
          <w:szCs w:val="22"/>
        </w:rPr>
        <w:tab/>
      </w:r>
      <w:r>
        <w:rPr>
          <w:rStyle w:val="24"/>
          <w:rFonts w:ascii="Times New Roman" w:hAnsi="仿宋" w:eastAsia="仿宋"/>
          <w:sz w:val="32"/>
        </w:rPr>
        <w:t>建设用地保障与管控</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_Toc501034262 \h </w:instrText>
      </w:r>
      <w:r>
        <w:rPr>
          <w:rFonts w:ascii="Times New Roman" w:hAnsi="Times New Roman" w:eastAsia="仿宋"/>
          <w:sz w:val="32"/>
        </w:rPr>
        <w:fldChar w:fldCharType="separate"/>
      </w:r>
      <w:r>
        <w:rPr>
          <w:rFonts w:ascii="Times New Roman" w:hAnsi="Times New Roman" w:eastAsia="仿宋"/>
          <w:sz w:val="32"/>
        </w:rPr>
        <w:t>11</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"_Toc501034263"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统筹管控建设用地规模</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_Toc501034263 \h </w:instrText>
      </w:r>
      <w:r>
        <w:rPr>
          <w:rFonts w:ascii="Times New Roman" w:hAnsi="Times New Roman" w:eastAsia="仿宋"/>
          <w:sz w:val="28"/>
        </w:rPr>
        <w:fldChar w:fldCharType="separate"/>
      </w:r>
      <w:r>
        <w:rPr>
          <w:rFonts w:ascii="Times New Roman" w:hAnsi="Times New Roman" w:eastAsia="仿宋"/>
          <w:sz w:val="28"/>
        </w:rPr>
        <w:t>11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"_Toc501034264"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优化配置城乡建设用地</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_Toc501034264 \h </w:instrText>
      </w:r>
      <w:r>
        <w:rPr>
          <w:rFonts w:ascii="Times New Roman" w:hAnsi="Times New Roman" w:eastAsia="仿宋"/>
          <w:sz w:val="28"/>
        </w:rPr>
        <w:fldChar w:fldCharType="separate"/>
      </w:r>
      <w:r>
        <w:rPr>
          <w:rFonts w:ascii="Times New Roman" w:hAnsi="Times New Roman" w:eastAsia="仿宋"/>
          <w:sz w:val="28"/>
        </w:rPr>
        <w:t>11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"_Toc501034265"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推进基础设施节约用地</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_Toc501034265 \h </w:instrText>
      </w:r>
      <w:r>
        <w:rPr>
          <w:rFonts w:ascii="Times New Roman" w:hAnsi="Times New Roman" w:eastAsia="仿宋"/>
          <w:sz w:val="28"/>
        </w:rPr>
        <w:fldChar w:fldCharType="separate"/>
      </w:r>
      <w:r>
        <w:rPr>
          <w:rFonts w:ascii="Times New Roman" w:hAnsi="Times New Roman" w:eastAsia="仿宋"/>
          <w:sz w:val="28"/>
        </w:rPr>
        <w:t>13</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"_Toc501034266" </w:instrText>
      </w:r>
      <w:r>
        <w:fldChar w:fldCharType="separate"/>
      </w:r>
      <w:r>
        <w:rPr>
          <w:rStyle w:val="24"/>
          <w:rFonts w:ascii="Times New Roman" w:hAnsi="仿宋" w:eastAsia="仿宋"/>
          <w:sz w:val="32"/>
        </w:rPr>
        <w:t>五、</w:t>
      </w:r>
      <w:r>
        <w:rPr>
          <w:rFonts w:ascii="Times New Roman" w:hAnsi="Times New Roman" w:eastAsia="仿宋"/>
          <w:sz w:val="22"/>
          <w:szCs w:val="22"/>
        </w:rPr>
        <w:tab/>
      </w:r>
      <w:r>
        <w:rPr>
          <w:rStyle w:val="24"/>
          <w:rFonts w:ascii="Times New Roman" w:hAnsi="仿宋" w:eastAsia="仿宋"/>
          <w:sz w:val="32"/>
        </w:rPr>
        <w:t>土地生态建设与保护</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_Toc501034266 \h </w:instrText>
      </w:r>
      <w:r>
        <w:rPr>
          <w:rFonts w:ascii="Times New Roman" w:hAnsi="Times New Roman" w:eastAsia="仿宋"/>
          <w:sz w:val="32"/>
        </w:rPr>
        <w:fldChar w:fldCharType="separate"/>
      </w:r>
      <w:r>
        <w:rPr>
          <w:rFonts w:ascii="Times New Roman" w:hAnsi="Times New Roman" w:eastAsia="仿宋"/>
          <w:sz w:val="32"/>
        </w:rPr>
        <w:t>14</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"_Toc501034267"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稳定土地生态空间</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_Toc501034267 \h </w:instrText>
      </w:r>
      <w:r>
        <w:rPr>
          <w:rFonts w:ascii="Times New Roman" w:hAnsi="Times New Roman" w:eastAsia="仿宋"/>
          <w:sz w:val="28"/>
        </w:rPr>
        <w:fldChar w:fldCharType="separate"/>
      </w:r>
      <w:r>
        <w:rPr>
          <w:rFonts w:ascii="Times New Roman" w:hAnsi="Times New Roman" w:eastAsia="仿宋"/>
          <w:sz w:val="28"/>
        </w:rPr>
        <w:t>14</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"_Toc501034268"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构建环境友好型土地利用模式</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_Toc501034268 \h </w:instrText>
      </w:r>
      <w:r>
        <w:rPr>
          <w:rFonts w:ascii="Times New Roman" w:hAnsi="Times New Roman" w:eastAsia="仿宋"/>
          <w:sz w:val="28"/>
        </w:rPr>
        <w:fldChar w:fldCharType="separate"/>
      </w:r>
      <w:r>
        <w:rPr>
          <w:rFonts w:ascii="Times New Roman" w:hAnsi="Times New Roman" w:eastAsia="仿宋"/>
          <w:sz w:val="28"/>
        </w:rPr>
        <w:t>15</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"_Toc501034269" </w:instrText>
      </w:r>
      <w:r>
        <w:fldChar w:fldCharType="separate"/>
      </w:r>
      <w:r>
        <w:rPr>
          <w:rStyle w:val="24"/>
          <w:rFonts w:ascii="Times New Roman" w:hAnsi="仿宋" w:eastAsia="仿宋"/>
          <w:sz w:val="32"/>
        </w:rPr>
        <w:t>六、</w:t>
      </w:r>
      <w:r>
        <w:rPr>
          <w:rFonts w:ascii="Times New Roman" w:hAnsi="Times New Roman" w:eastAsia="仿宋"/>
          <w:sz w:val="22"/>
          <w:szCs w:val="22"/>
        </w:rPr>
        <w:tab/>
      </w:r>
      <w:r>
        <w:rPr>
          <w:rStyle w:val="24"/>
          <w:rFonts w:ascii="Times New Roman" w:hAnsi="仿宋" w:eastAsia="仿宋"/>
          <w:sz w:val="32"/>
        </w:rPr>
        <w:t>土地利用区域调控与管制</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_Toc501034269 \h </w:instrText>
      </w:r>
      <w:r>
        <w:rPr>
          <w:rFonts w:ascii="Times New Roman" w:hAnsi="Times New Roman" w:eastAsia="仿宋"/>
          <w:sz w:val="32"/>
        </w:rPr>
        <w:fldChar w:fldCharType="separate"/>
      </w:r>
      <w:r>
        <w:rPr>
          <w:rFonts w:ascii="Times New Roman" w:hAnsi="Times New Roman" w:eastAsia="仿宋"/>
          <w:sz w:val="32"/>
        </w:rPr>
        <w:t>16</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"_Toc501034270"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土地用途分区</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_Toc501034270 \h </w:instrText>
      </w:r>
      <w:r>
        <w:rPr>
          <w:rFonts w:ascii="Times New Roman" w:hAnsi="Times New Roman" w:eastAsia="仿宋"/>
          <w:sz w:val="28"/>
        </w:rPr>
        <w:fldChar w:fldCharType="separate"/>
      </w:r>
      <w:r>
        <w:rPr>
          <w:rFonts w:ascii="Times New Roman" w:hAnsi="Times New Roman" w:eastAsia="仿宋"/>
          <w:sz w:val="28"/>
        </w:rPr>
        <w:t>16</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"_Toc501034271"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建设用地空间管制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_Toc501034271 \h </w:instrText>
      </w:r>
      <w:r>
        <w:rPr>
          <w:rFonts w:ascii="Times New Roman" w:hAnsi="Times New Roman" w:eastAsia="仿宋"/>
          <w:sz w:val="28"/>
        </w:rPr>
        <w:fldChar w:fldCharType="separate"/>
      </w:r>
      <w:r>
        <w:rPr>
          <w:rFonts w:ascii="Times New Roman" w:hAnsi="Times New Roman" w:eastAsia="仿宋"/>
          <w:sz w:val="28"/>
        </w:rPr>
        <w:t>17</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"_Toc501034272" </w:instrText>
      </w:r>
      <w:r>
        <w:fldChar w:fldCharType="separate"/>
      </w:r>
      <w:r>
        <w:rPr>
          <w:rStyle w:val="24"/>
          <w:rFonts w:ascii="Times New Roman" w:hAnsi="仿宋" w:eastAsia="仿宋"/>
          <w:sz w:val="32"/>
        </w:rPr>
        <w:t>七、</w:t>
      </w:r>
      <w:r>
        <w:rPr>
          <w:rFonts w:ascii="Times New Roman" w:hAnsi="Times New Roman" w:eastAsia="仿宋"/>
          <w:sz w:val="22"/>
          <w:szCs w:val="22"/>
        </w:rPr>
        <w:tab/>
      </w:r>
      <w:r>
        <w:rPr>
          <w:rStyle w:val="24"/>
          <w:rFonts w:ascii="Times New Roman" w:hAnsi="仿宋" w:eastAsia="仿宋"/>
          <w:sz w:val="32"/>
        </w:rPr>
        <w:t>土地利用重点工程</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_Toc501034272 \h </w:instrText>
      </w:r>
      <w:r>
        <w:rPr>
          <w:rFonts w:ascii="Times New Roman" w:hAnsi="Times New Roman" w:eastAsia="仿宋"/>
          <w:sz w:val="32"/>
        </w:rPr>
        <w:fldChar w:fldCharType="separate"/>
      </w:r>
      <w:r>
        <w:rPr>
          <w:rFonts w:ascii="Times New Roman" w:hAnsi="Times New Roman" w:eastAsia="仿宋"/>
          <w:sz w:val="32"/>
        </w:rPr>
        <w:t>19</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"_Toc501034273"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基本农田建设工程</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_Toc501034273 \h </w:instrText>
      </w:r>
      <w:r>
        <w:rPr>
          <w:rFonts w:ascii="Times New Roman" w:hAnsi="Times New Roman" w:eastAsia="仿宋"/>
          <w:sz w:val="28"/>
        </w:rPr>
        <w:fldChar w:fldCharType="separate"/>
      </w:r>
      <w:r>
        <w:rPr>
          <w:rFonts w:ascii="Times New Roman" w:hAnsi="Times New Roman" w:eastAsia="仿宋"/>
          <w:sz w:val="28"/>
        </w:rPr>
        <w:t>19</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"_Toc501034274"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土地整治工程</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_Toc501034274 \h </w:instrText>
      </w:r>
      <w:r>
        <w:rPr>
          <w:rFonts w:ascii="Times New Roman" w:hAnsi="Times New Roman" w:eastAsia="仿宋"/>
          <w:sz w:val="28"/>
        </w:rPr>
        <w:fldChar w:fldCharType="separate"/>
      </w:r>
      <w:r>
        <w:rPr>
          <w:rFonts w:ascii="Times New Roman" w:hAnsi="Times New Roman" w:eastAsia="仿宋"/>
          <w:sz w:val="28"/>
        </w:rPr>
        <w:t>19</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"_Toc501034275"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基础设施工程</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_Toc501034275 \h </w:instrText>
      </w:r>
      <w:r>
        <w:rPr>
          <w:rFonts w:ascii="Times New Roman" w:hAnsi="Times New Roman" w:eastAsia="仿宋"/>
          <w:sz w:val="28"/>
        </w:rPr>
        <w:fldChar w:fldCharType="separate"/>
      </w:r>
      <w:r>
        <w:rPr>
          <w:rFonts w:ascii="Times New Roman" w:hAnsi="Times New Roman" w:eastAsia="仿宋"/>
          <w:sz w:val="28"/>
        </w:rPr>
        <w:t>20</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"_Toc501034276" </w:instrText>
      </w:r>
      <w:r>
        <w:fldChar w:fldCharType="separate"/>
      </w:r>
      <w:r>
        <w:rPr>
          <w:rStyle w:val="24"/>
          <w:rFonts w:ascii="Times New Roman" w:hAnsi="仿宋" w:eastAsia="仿宋"/>
          <w:sz w:val="32"/>
        </w:rPr>
        <w:t>八、</w:t>
      </w:r>
      <w:r>
        <w:rPr>
          <w:rFonts w:ascii="Times New Roman" w:hAnsi="Times New Roman" w:eastAsia="仿宋"/>
          <w:sz w:val="22"/>
          <w:szCs w:val="22"/>
        </w:rPr>
        <w:tab/>
      </w:r>
      <w:r>
        <w:rPr>
          <w:rStyle w:val="24"/>
          <w:rFonts w:ascii="Times New Roman" w:hAnsi="仿宋" w:eastAsia="仿宋"/>
          <w:sz w:val="32"/>
        </w:rPr>
        <w:t>规划实施保障措施</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_Toc501034276 \h </w:instrText>
      </w:r>
      <w:r>
        <w:rPr>
          <w:rFonts w:ascii="Times New Roman" w:hAnsi="Times New Roman" w:eastAsia="仿宋"/>
          <w:sz w:val="32"/>
        </w:rPr>
        <w:fldChar w:fldCharType="separate"/>
      </w:r>
      <w:r>
        <w:rPr>
          <w:rFonts w:ascii="Times New Roman" w:hAnsi="Times New Roman" w:eastAsia="仿宋"/>
          <w:sz w:val="32"/>
        </w:rPr>
        <w:t>21</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"_Toc501034277"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深化落实规划管理共同责任</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_Toc501034277 \h </w:instrText>
      </w:r>
      <w:r>
        <w:rPr>
          <w:rFonts w:ascii="Times New Roman" w:hAnsi="Times New Roman" w:eastAsia="仿宋"/>
          <w:sz w:val="28"/>
        </w:rPr>
        <w:fldChar w:fldCharType="separate"/>
      </w:r>
      <w:r>
        <w:rPr>
          <w:rFonts w:ascii="Times New Roman" w:hAnsi="Times New Roman" w:eastAsia="仿宋"/>
          <w:sz w:val="28"/>
        </w:rPr>
        <w:t>21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"_Toc501034278"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深化多规融合相互协调衔接</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_Toc501034278 \h </w:instrText>
      </w:r>
      <w:r>
        <w:rPr>
          <w:rFonts w:ascii="Times New Roman" w:hAnsi="Times New Roman" w:eastAsia="仿宋"/>
          <w:sz w:val="28"/>
        </w:rPr>
        <w:fldChar w:fldCharType="separate"/>
      </w:r>
      <w:r>
        <w:rPr>
          <w:rFonts w:ascii="Times New Roman" w:hAnsi="Times New Roman" w:eastAsia="仿宋"/>
          <w:sz w:val="28"/>
        </w:rPr>
        <w:t>21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"_Toc501034279"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加强规划实施管理制度建设</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_Toc501034279 \h </w:instrText>
      </w:r>
      <w:r>
        <w:rPr>
          <w:rFonts w:ascii="Times New Roman" w:hAnsi="Times New Roman" w:eastAsia="仿宋"/>
          <w:sz w:val="28"/>
        </w:rPr>
        <w:fldChar w:fldCharType="separate"/>
      </w:r>
      <w:r>
        <w:rPr>
          <w:rFonts w:ascii="Times New Roman" w:hAnsi="Times New Roman" w:eastAsia="仿宋"/>
          <w:sz w:val="28"/>
        </w:rPr>
        <w:t>21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"_Toc501034280" </w:instrText>
      </w:r>
      <w:r>
        <w:fldChar w:fldCharType="separate"/>
      </w:r>
      <w:r>
        <w:rPr>
          <w:rStyle w:val="24"/>
          <w:rFonts w:ascii="Times New Roman" w:hAnsi="仿宋" w:eastAsia="仿宋"/>
          <w:sz w:val="28"/>
        </w:rPr>
        <w:t>（四）</w:t>
      </w:r>
      <w:r>
        <w:rPr>
          <w:rStyle w:val="24"/>
          <w:rFonts w:ascii="Times New Roman" w:hAnsi="Times New Roman" w:eastAsia="仿宋"/>
          <w:sz w:val="28"/>
        </w:rPr>
        <w:t xml:space="preserve"> </w:t>
      </w:r>
      <w:r>
        <w:rPr>
          <w:rStyle w:val="24"/>
          <w:rFonts w:ascii="Times New Roman" w:hAnsi="仿宋" w:eastAsia="仿宋"/>
          <w:sz w:val="28"/>
        </w:rPr>
        <w:t>完善耕地保护政策和机制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_Toc501034280 \h </w:instrText>
      </w:r>
      <w:r>
        <w:rPr>
          <w:rFonts w:ascii="Times New Roman" w:hAnsi="Times New Roman" w:eastAsia="仿宋"/>
          <w:sz w:val="28"/>
        </w:rPr>
        <w:fldChar w:fldCharType="separate"/>
      </w:r>
      <w:r>
        <w:rPr>
          <w:rFonts w:ascii="Times New Roman" w:hAnsi="Times New Roman" w:eastAsia="仿宋"/>
          <w:sz w:val="28"/>
        </w:rPr>
        <w:t>22</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"_Toc501034281" </w:instrText>
      </w:r>
      <w:r>
        <w:fldChar w:fldCharType="separate"/>
      </w:r>
      <w:r>
        <w:rPr>
          <w:rStyle w:val="24"/>
          <w:rFonts w:ascii="Times New Roman" w:hAnsi="仿宋" w:eastAsia="仿宋"/>
          <w:sz w:val="28"/>
        </w:rPr>
        <w:t>（五）</w:t>
      </w:r>
      <w:r>
        <w:rPr>
          <w:rStyle w:val="24"/>
          <w:rFonts w:ascii="Times New Roman" w:hAnsi="Times New Roman" w:eastAsia="仿宋"/>
          <w:sz w:val="28"/>
        </w:rPr>
        <w:t xml:space="preserve"> </w:t>
      </w:r>
      <w:r>
        <w:rPr>
          <w:rStyle w:val="24"/>
          <w:rFonts w:ascii="Times New Roman" w:hAnsi="仿宋" w:eastAsia="仿宋"/>
          <w:sz w:val="28"/>
        </w:rPr>
        <w:t>健全土地节约集约利用机制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_Toc501034281 \h </w:instrText>
      </w:r>
      <w:r>
        <w:rPr>
          <w:rFonts w:ascii="Times New Roman" w:hAnsi="Times New Roman" w:eastAsia="仿宋"/>
          <w:sz w:val="28"/>
        </w:rPr>
        <w:fldChar w:fldCharType="separate"/>
      </w:r>
      <w:r>
        <w:rPr>
          <w:rFonts w:ascii="Times New Roman" w:hAnsi="Times New Roman" w:eastAsia="仿宋"/>
          <w:sz w:val="28"/>
        </w:rPr>
        <w:t>22</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"_Toc501034282" </w:instrText>
      </w:r>
      <w:r>
        <w:fldChar w:fldCharType="separate"/>
      </w:r>
      <w:r>
        <w:rPr>
          <w:rStyle w:val="24"/>
          <w:rFonts w:ascii="Times New Roman" w:hAnsi="仿宋" w:eastAsia="仿宋"/>
          <w:sz w:val="28"/>
        </w:rPr>
        <w:t>（六）</w:t>
      </w:r>
      <w:r>
        <w:rPr>
          <w:rStyle w:val="24"/>
          <w:rFonts w:ascii="Times New Roman" w:hAnsi="Times New Roman" w:eastAsia="仿宋"/>
          <w:sz w:val="28"/>
        </w:rPr>
        <w:t xml:space="preserve"> </w:t>
      </w:r>
      <w:r>
        <w:rPr>
          <w:rStyle w:val="24"/>
          <w:rFonts w:ascii="Times New Roman" w:hAnsi="仿宋" w:eastAsia="仿宋"/>
          <w:sz w:val="28"/>
        </w:rPr>
        <w:t>加大土地生态建设保护力度</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_Toc501034282 \h </w:instrText>
      </w:r>
      <w:r>
        <w:rPr>
          <w:rFonts w:ascii="Times New Roman" w:hAnsi="Times New Roman" w:eastAsia="仿宋"/>
          <w:sz w:val="28"/>
        </w:rPr>
        <w:fldChar w:fldCharType="separate"/>
      </w:r>
      <w:r>
        <w:rPr>
          <w:rFonts w:ascii="Times New Roman" w:hAnsi="Times New Roman" w:eastAsia="仿宋"/>
          <w:sz w:val="28"/>
        </w:rPr>
        <w:t>22</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"_Toc501034283" </w:instrText>
      </w:r>
      <w:r>
        <w:fldChar w:fldCharType="separate"/>
      </w:r>
      <w:r>
        <w:rPr>
          <w:rStyle w:val="24"/>
          <w:rFonts w:ascii="Times New Roman" w:hAnsi="仿宋" w:eastAsia="仿宋"/>
          <w:sz w:val="28"/>
        </w:rPr>
        <w:t>（七）</w:t>
      </w:r>
      <w:r>
        <w:rPr>
          <w:rStyle w:val="24"/>
          <w:rFonts w:ascii="Times New Roman" w:hAnsi="Times New Roman" w:eastAsia="仿宋"/>
          <w:sz w:val="28"/>
        </w:rPr>
        <w:t xml:space="preserve"> </w:t>
      </w:r>
      <w:r>
        <w:rPr>
          <w:rStyle w:val="24"/>
          <w:rFonts w:ascii="Times New Roman" w:hAnsi="仿宋" w:eastAsia="仿宋"/>
          <w:sz w:val="28"/>
        </w:rPr>
        <w:t>健全规划管理责任制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_Toc501034283 \h </w:instrText>
      </w:r>
      <w:r>
        <w:rPr>
          <w:rFonts w:ascii="Times New Roman" w:hAnsi="Times New Roman" w:eastAsia="仿宋"/>
          <w:sz w:val="28"/>
        </w:rPr>
        <w:fldChar w:fldCharType="separate"/>
      </w:r>
      <w:r>
        <w:rPr>
          <w:rFonts w:ascii="Times New Roman" w:hAnsi="Times New Roman" w:eastAsia="仿宋"/>
          <w:sz w:val="28"/>
        </w:rPr>
        <w:t>23</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heme="minorHAnsi" w:hAnsiTheme="minorHAnsi" w:eastAsiaTheme="minorEastAsia" w:cstheme="minorBidi"/>
          <w:sz w:val="21"/>
          <w:szCs w:val="22"/>
        </w:rPr>
      </w:pPr>
      <w:r>
        <w:fldChar w:fldCharType="begin"/>
      </w:r>
      <w:r>
        <w:instrText xml:space="preserve"> HYPERLINK \l "_Toc501034284" </w:instrText>
      </w:r>
      <w:r>
        <w:fldChar w:fldCharType="separate"/>
      </w:r>
      <w:r>
        <w:rPr>
          <w:rStyle w:val="24"/>
          <w:rFonts w:ascii="Times New Roman" w:hAnsi="仿宋" w:eastAsia="仿宋"/>
          <w:sz w:val="28"/>
        </w:rPr>
        <w:t>（八）</w:t>
      </w:r>
      <w:r>
        <w:rPr>
          <w:rStyle w:val="24"/>
          <w:rFonts w:ascii="Times New Roman" w:hAnsi="Times New Roman" w:eastAsia="仿宋"/>
          <w:sz w:val="28"/>
        </w:rPr>
        <w:t xml:space="preserve"> </w:t>
      </w:r>
      <w:r>
        <w:rPr>
          <w:rStyle w:val="24"/>
          <w:rFonts w:ascii="Times New Roman" w:hAnsi="仿宋" w:eastAsia="仿宋"/>
          <w:sz w:val="28"/>
        </w:rPr>
        <w:t>扩大规划民主决策和公众参与</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_Toc501034284 \h </w:instrText>
      </w:r>
      <w:r>
        <w:rPr>
          <w:rFonts w:ascii="Times New Roman" w:hAnsi="Times New Roman" w:eastAsia="仿宋"/>
          <w:sz w:val="28"/>
        </w:rPr>
        <w:fldChar w:fldCharType="separate"/>
      </w:r>
      <w:r>
        <w:rPr>
          <w:rFonts w:ascii="Times New Roman" w:hAnsi="Times New Roman" w:eastAsia="仿宋"/>
          <w:sz w:val="28"/>
        </w:rPr>
        <w:t>23</w:t>
      </w:r>
      <w:r>
        <w:rPr>
          <w:rFonts w:ascii="Times New Roman" w:hAnsi="Times New Roman" w:eastAsia="仿宋"/>
          <w:sz w:val="28"/>
        </w:rPr>
        <w:fldChar w:fldCharType="end"/>
      </w:r>
      <w:r>
        <w:rPr>
          <w:rFonts w:ascii="Times New Roman" w:hAnsi="Times New Roman" w:eastAsia="仿宋"/>
          <w:sz w:val="28"/>
        </w:rPr>
        <w:fldChar w:fldCharType="end"/>
      </w:r>
    </w:p>
    <w:p>
      <w:pPr>
        <w:pStyle w:val="16"/>
        <w:spacing w:line="240" w:lineRule="auto"/>
        <w:rPr>
          <w:rStyle w:val="24"/>
          <w:rFonts w:ascii="Times New Roman" w:hAnsi="Times New Roman" w:eastAsia="仿宋"/>
          <w:color w:val="auto"/>
          <w:sz w:val="52"/>
          <w:szCs w:val="32"/>
        </w:rPr>
      </w:pPr>
      <w:r>
        <w:rPr>
          <w:rFonts w:ascii="Times New Roman" w:hAnsi="Times New Roman" w:eastAsia="仿宋"/>
          <w:sz w:val="144"/>
        </w:rPr>
        <w:fldChar w:fldCharType="end"/>
      </w:r>
    </w:p>
    <w:p>
      <w:pPr>
        <w:rPr>
          <w:rFonts w:eastAsia="仿宋"/>
          <w:sz w:val="22"/>
        </w:rPr>
      </w:pPr>
    </w:p>
    <w:p>
      <w:pPr>
        <w:rPr>
          <w:rFonts w:eastAsia="仿宋"/>
          <w:sz w:val="22"/>
        </w:rPr>
      </w:pPr>
      <w:r>
        <w:rPr>
          <w:rFonts w:eastAsia="仿宋"/>
          <w:sz w:val="22"/>
        </w:rPr>
        <w:br w:type="page"/>
      </w:r>
    </w:p>
    <w:p>
      <w:pPr>
        <w:jc w:val="center"/>
      </w:pPr>
      <w:r>
        <w:rPr>
          <w:rFonts w:eastAsia="黑体"/>
          <w:sz w:val="36"/>
          <w:szCs w:val="36"/>
        </w:rPr>
        <w:t>附  表</w:t>
      </w:r>
    </w:p>
    <w:p>
      <w:pPr>
        <w:ind w:firstLine="560" w:firstLineChars="200"/>
        <w:rPr>
          <w:rFonts w:eastAsia="仿宋"/>
          <w:sz w:val="28"/>
          <w:szCs w:val="28"/>
        </w:rPr>
      </w:pPr>
      <w:r>
        <w:rPr>
          <w:rFonts w:eastAsia="仿宋"/>
          <w:sz w:val="28"/>
          <w:szCs w:val="28"/>
        </w:rPr>
        <w:t>附表1：</w:t>
      </w:r>
      <w:r>
        <w:rPr>
          <w:rFonts w:hint="eastAsia" w:eastAsia="仿宋"/>
          <w:sz w:val="28"/>
          <w:szCs w:val="28"/>
        </w:rPr>
        <w:t>南山城镇</w:t>
      </w:r>
      <w:r>
        <w:rPr>
          <w:rFonts w:eastAsia="仿宋"/>
          <w:sz w:val="28"/>
          <w:szCs w:val="28"/>
        </w:rPr>
        <w:t>土地利用主要调控指标表</w:t>
      </w:r>
    </w:p>
    <w:p>
      <w:pPr>
        <w:ind w:firstLine="560" w:firstLineChars="200"/>
        <w:rPr>
          <w:rFonts w:eastAsia="仿宋"/>
          <w:sz w:val="28"/>
          <w:szCs w:val="28"/>
        </w:rPr>
      </w:pPr>
      <w:r>
        <w:rPr>
          <w:rFonts w:eastAsia="仿宋"/>
          <w:sz w:val="28"/>
          <w:szCs w:val="28"/>
        </w:rPr>
        <w:t>附表2：</w:t>
      </w:r>
      <w:r>
        <w:rPr>
          <w:rFonts w:hint="eastAsia" w:eastAsia="仿宋"/>
          <w:sz w:val="28"/>
          <w:szCs w:val="28"/>
        </w:rPr>
        <w:t>南山城镇</w:t>
      </w:r>
      <w:r>
        <w:rPr>
          <w:rFonts w:eastAsia="仿宋"/>
          <w:sz w:val="28"/>
          <w:szCs w:val="28"/>
        </w:rPr>
        <w:t>土地利用结构调整表</w:t>
      </w:r>
    </w:p>
    <w:p>
      <w:pPr>
        <w:ind w:firstLine="560" w:firstLineChars="200"/>
        <w:rPr>
          <w:rFonts w:eastAsia="仿宋"/>
          <w:sz w:val="28"/>
          <w:szCs w:val="28"/>
        </w:rPr>
      </w:pPr>
      <w:r>
        <w:rPr>
          <w:rFonts w:eastAsia="仿宋"/>
          <w:sz w:val="28"/>
          <w:szCs w:val="28"/>
        </w:rPr>
        <w:t>附表3：</w:t>
      </w:r>
      <w:r>
        <w:rPr>
          <w:rFonts w:hint="eastAsia" w:eastAsia="仿宋"/>
          <w:sz w:val="28"/>
          <w:szCs w:val="28"/>
        </w:rPr>
        <w:t>南山城镇土地利用主要调控指标分解落实表</w:t>
      </w:r>
    </w:p>
    <w:p>
      <w:pPr>
        <w:ind w:firstLine="560" w:firstLineChars="200"/>
        <w:rPr>
          <w:rFonts w:eastAsia="仿宋"/>
          <w:sz w:val="28"/>
          <w:szCs w:val="28"/>
        </w:rPr>
      </w:pPr>
      <w:r>
        <w:rPr>
          <w:rFonts w:eastAsia="仿宋"/>
          <w:sz w:val="28"/>
          <w:szCs w:val="28"/>
        </w:rPr>
        <w:t>附表4：</w:t>
      </w:r>
      <w:r>
        <w:rPr>
          <w:rFonts w:hint="eastAsia" w:eastAsia="仿宋"/>
          <w:sz w:val="28"/>
          <w:szCs w:val="28"/>
        </w:rPr>
        <w:t>南山城镇耕地保有量变化情况</w:t>
      </w:r>
      <w:r>
        <w:rPr>
          <w:rFonts w:eastAsia="仿宋"/>
          <w:sz w:val="28"/>
          <w:szCs w:val="28"/>
        </w:rPr>
        <w:t>表</w:t>
      </w:r>
    </w:p>
    <w:p>
      <w:pPr>
        <w:ind w:firstLine="560" w:firstLineChars="200"/>
        <w:rPr>
          <w:rFonts w:eastAsia="仿宋"/>
          <w:sz w:val="28"/>
          <w:szCs w:val="28"/>
        </w:rPr>
      </w:pPr>
      <w:r>
        <w:rPr>
          <w:rFonts w:eastAsia="仿宋"/>
          <w:sz w:val="28"/>
          <w:szCs w:val="28"/>
        </w:rPr>
        <w:t>附表</w:t>
      </w:r>
      <w:r>
        <w:rPr>
          <w:rFonts w:hint="eastAsia" w:eastAsia="仿宋"/>
          <w:sz w:val="28"/>
          <w:szCs w:val="28"/>
        </w:rPr>
        <w:t>5</w:t>
      </w:r>
      <w:r>
        <w:rPr>
          <w:rFonts w:eastAsia="仿宋"/>
          <w:sz w:val="28"/>
          <w:szCs w:val="28"/>
        </w:rPr>
        <w:t>：</w:t>
      </w:r>
      <w:r>
        <w:rPr>
          <w:rFonts w:hint="eastAsia" w:eastAsia="仿宋"/>
          <w:sz w:val="28"/>
          <w:szCs w:val="28"/>
        </w:rPr>
        <w:t>南山城镇土地用途分区面积</w:t>
      </w:r>
      <w:r>
        <w:rPr>
          <w:rFonts w:eastAsia="仿宋"/>
          <w:sz w:val="28"/>
          <w:szCs w:val="28"/>
        </w:rPr>
        <w:t>表</w:t>
      </w:r>
    </w:p>
    <w:p>
      <w:pPr>
        <w:ind w:firstLine="560" w:firstLineChars="200"/>
        <w:rPr>
          <w:rFonts w:eastAsia="仿宋"/>
          <w:sz w:val="28"/>
          <w:szCs w:val="28"/>
        </w:rPr>
      </w:pPr>
      <w:r>
        <w:rPr>
          <w:rFonts w:eastAsia="仿宋"/>
          <w:sz w:val="28"/>
          <w:szCs w:val="28"/>
        </w:rPr>
        <w:t>附表</w:t>
      </w:r>
      <w:r>
        <w:rPr>
          <w:rFonts w:hint="eastAsia" w:eastAsia="仿宋"/>
          <w:sz w:val="28"/>
          <w:szCs w:val="28"/>
        </w:rPr>
        <w:t>6</w:t>
      </w:r>
      <w:r>
        <w:rPr>
          <w:rFonts w:eastAsia="仿宋"/>
          <w:sz w:val="28"/>
          <w:szCs w:val="28"/>
        </w:rPr>
        <w:t>：</w:t>
      </w:r>
      <w:r>
        <w:rPr>
          <w:rFonts w:hint="eastAsia" w:eastAsia="仿宋"/>
          <w:sz w:val="28"/>
          <w:szCs w:val="28"/>
        </w:rPr>
        <w:t>南山城镇重点建设项目用地规划表</w:t>
      </w:r>
    </w:p>
    <w:p>
      <w:pPr>
        <w:ind w:firstLine="560" w:firstLineChars="200"/>
        <w:rPr>
          <w:rFonts w:eastAsia="仿宋"/>
          <w:sz w:val="28"/>
          <w:szCs w:val="28"/>
        </w:rPr>
      </w:pPr>
    </w:p>
    <w:p>
      <w:pPr>
        <w:widowControl/>
        <w:jc w:val="left"/>
        <w:rPr>
          <w:rFonts w:eastAsia="仿宋"/>
          <w:sz w:val="28"/>
          <w:szCs w:val="28"/>
        </w:rPr>
      </w:pPr>
      <w:r>
        <w:rPr>
          <w:rFonts w:eastAsia="仿宋"/>
          <w:sz w:val="28"/>
          <w:szCs w:val="28"/>
        </w:rPr>
        <w:br w:type="page"/>
      </w:r>
    </w:p>
    <w:p>
      <w:pPr>
        <w:jc w:val="center"/>
      </w:pPr>
      <w:r>
        <w:rPr>
          <w:rFonts w:eastAsia="黑体"/>
          <w:sz w:val="36"/>
          <w:szCs w:val="36"/>
        </w:rPr>
        <w:t xml:space="preserve">附  </w:t>
      </w:r>
      <w:r>
        <w:rPr>
          <w:rFonts w:hint="eastAsia" w:eastAsia="黑体"/>
          <w:sz w:val="36"/>
          <w:szCs w:val="36"/>
        </w:rPr>
        <w:t>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1：</w:t>
      </w:r>
      <w:r>
        <w:rPr>
          <w:rFonts w:hint="eastAsia" w:eastAsia="仿宋"/>
          <w:sz w:val="28"/>
          <w:szCs w:val="28"/>
        </w:rPr>
        <w:t>南山城镇土地利用现状图（2014年）</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2：</w:t>
      </w:r>
      <w:r>
        <w:rPr>
          <w:rFonts w:hint="eastAsia" w:eastAsia="仿宋"/>
          <w:sz w:val="28"/>
          <w:szCs w:val="28"/>
        </w:rPr>
        <w:t>南山城镇土地利用总体规划图（调整后）</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3：</w:t>
      </w:r>
      <w:r>
        <w:rPr>
          <w:rFonts w:hint="eastAsia" w:eastAsia="仿宋"/>
          <w:sz w:val="28"/>
          <w:szCs w:val="28"/>
        </w:rPr>
        <w:t>南山城镇永久基本农田划定图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4：</w:t>
      </w:r>
      <w:r>
        <w:rPr>
          <w:rFonts w:hint="eastAsia" w:eastAsia="仿宋"/>
          <w:sz w:val="28"/>
          <w:szCs w:val="28"/>
        </w:rPr>
        <w:t>南山城镇建设用地管制分区图（调整后）</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5：</w:t>
      </w:r>
      <w:r>
        <w:rPr>
          <w:rFonts w:hint="eastAsia" w:eastAsia="仿宋"/>
          <w:sz w:val="28"/>
          <w:szCs w:val="28"/>
        </w:rPr>
        <w:t>南山城镇土地整治规划图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6：</w:t>
      </w:r>
      <w:r>
        <w:rPr>
          <w:rFonts w:hint="eastAsia" w:eastAsia="仿宋"/>
          <w:sz w:val="28"/>
          <w:szCs w:val="28"/>
        </w:rPr>
        <w:t>南山城镇重点项目布局图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7：</w:t>
      </w:r>
      <w:r>
        <w:rPr>
          <w:rFonts w:hint="eastAsia" w:eastAsia="仿宋"/>
          <w:sz w:val="28"/>
          <w:szCs w:val="28"/>
        </w:rPr>
        <w:t>南山城镇生态保护红线图</w:t>
      </w:r>
    </w:p>
    <w:p>
      <w:pPr>
        <w:ind w:firstLine="560" w:firstLineChars="200"/>
        <w:rPr>
          <w:rFonts w:eastAsia="仿宋"/>
          <w:sz w:val="28"/>
          <w:szCs w:val="28"/>
        </w:rPr>
      </w:pPr>
    </w:p>
    <w:p/>
    <w:p>
      <w:pPr>
        <w:sectPr>
          <w:footerReference r:id="rId4" w:type="default"/>
          <w:pgSz w:w="11906" w:h="16838"/>
          <w:pgMar w:top="1418" w:right="1418" w:bottom="1418" w:left="1531" w:header="851" w:footer="992" w:gutter="227"/>
          <w:pgNumType w:fmt="upperRoman" w:start="1"/>
          <w:cols w:space="425" w:num="1"/>
          <w:docGrid w:type="lines" w:linePitch="312" w:charSpace="0"/>
        </w:sectPr>
      </w:pPr>
    </w:p>
    <w:p>
      <w:pPr>
        <w:pStyle w:val="2"/>
        <w:pageBreakBefore/>
        <w:spacing w:beforeLines="100" w:afterLines="100" w:line="240" w:lineRule="auto"/>
        <w:jc w:val="center"/>
        <w:rPr>
          <w:rFonts w:eastAsia="黑体"/>
          <w:sz w:val="36"/>
          <w:szCs w:val="36"/>
        </w:rPr>
      </w:pPr>
      <w:bookmarkStart w:id="19" w:name="_Toc501034251"/>
      <w:r>
        <w:rPr>
          <w:rFonts w:eastAsia="黑体"/>
          <w:sz w:val="36"/>
          <w:szCs w:val="36"/>
        </w:rPr>
        <w:t>前  言</w:t>
      </w:r>
      <w:bookmarkEnd w:id="19"/>
    </w:p>
    <w:p>
      <w:pPr>
        <w:ind w:firstLine="555"/>
        <w:rPr>
          <w:rFonts w:eastAsia="仿宋"/>
          <w:sz w:val="28"/>
          <w:szCs w:val="28"/>
        </w:rPr>
      </w:pPr>
      <w:bookmarkStart w:id="20" w:name="_Toc236146158"/>
      <w:bookmarkStart w:id="21" w:name="_Toc213845322"/>
      <w:bookmarkStart w:id="22" w:name="_Toc184231139"/>
      <w:bookmarkStart w:id="23" w:name="_Toc221329888"/>
      <w:bookmarkStart w:id="24" w:name="_Toc247080175"/>
      <w:bookmarkStart w:id="25" w:name="_Toc258513394"/>
      <w:r>
        <w:rPr>
          <w:rFonts w:eastAsia="仿宋"/>
          <w:sz w:val="28"/>
          <w:szCs w:val="28"/>
        </w:rPr>
        <w:t>土地利用总体规划是加强土地资源保护、实现可持续发展战略的重要措施，是统筹安排各业用地、促进城乡协调发展的重要手段，是深化改革和严格土地管理的重大举措，是落实土地用途管制制度的重要依据。土地利用总体规划在土地资源管理、保护和合理利用中处于先行地位、基础地位和龙头地位。为更好地保障 “十三五”时期经济社会持续健康发展，深化加强土地宏观调控，保护、整治和节约集约利用土地资源，同时落实“十分珍惜、合理利用土地和切实保护耕地”的基本国策，改变传统的土地利用模式，优化配置土地资源，正确处理社会经济发展与耕地保护的关系，实现耕地占补平衡，保障社会经济发展，根据《国土资源部办公厅关于做好土地利用总体规划调整完善工作的通知》（国土资厅函[2016]1096号）和《关于加快推进市县乡级土地利用总体规划调整方案工作的通知》（辽国土资发[2016]240号）等规定，按照国家及辽宁省的安排部署</w:t>
      </w:r>
      <w:r>
        <w:rPr>
          <w:rFonts w:hint="eastAsia" w:eastAsia="仿宋"/>
          <w:sz w:val="28"/>
          <w:szCs w:val="28"/>
        </w:rPr>
        <w:t>并</w:t>
      </w:r>
      <w:r>
        <w:rPr>
          <w:rFonts w:eastAsia="仿宋"/>
          <w:sz w:val="28"/>
          <w:szCs w:val="28"/>
        </w:rPr>
        <w:t>结合《抚顺市土地利用总体规划（2006</w:t>
      </w:r>
      <w:r>
        <w:rPr>
          <w:rFonts w:hint="eastAsia" w:eastAsia="仿宋"/>
          <w:sz w:val="28"/>
          <w:szCs w:val="28"/>
        </w:rPr>
        <w:t>-</w:t>
      </w:r>
      <w:r>
        <w:rPr>
          <w:rFonts w:eastAsia="仿宋"/>
          <w:sz w:val="28"/>
          <w:szCs w:val="28"/>
        </w:rPr>
        <w:t>2020年）调整方案》</w:t>
      </w:r>
      <w:r>
        <w:rPr>
          <w:rFonts w:hint="eastAsia" w:eastAsia="仿宋"/>
          <w:sz w:val="28"/>
          <w:szCs w:val="28"/>
        </w:rPr>
        <w:t>及《清原满族自治县土地利用总体规划（2006-2020年）调整方案》，南山城镇</w:t>
      </w:r>
      <w:r>
        <w:rPr>
          <w:rFonts w:eastAsia="仿宋"/>
          <w:sz w:val="28"/>
          <w:szCs w:val="28"/>
        </w:rPr>
        <w:t>人民政府组织对《</w:t>
      </w:r>
      <w:r>
        <w:rPr>
          <w:rFonts w:hint="eastAsia" w:eastAsia="仿宋"/>
          <w:sz w:val="28"/>
          <w:szCs w:val="28"/>
        </w:rPr>
        <w:t>清原满族自治县南山城镇</w:t>
      </w:r>
      <w:r>
        <w:rPr>
          <w:rFonts w:eastAsia="仿宋"/>
          <w:sz w:val="28"/>
          <w:szCs w:val="28"/>
        </w:rPr>
        <w:t>土地利用总体规划（2006</w:t>
      </w:r>
      <w:r>
        <w:rPr>
          <w:rFonts w:hint="eastAsia" w:eastAsia="仿宋"/>
          <w:sz w:val="28"/>
          <w:szCs w:val="28"/>
        </w:rPr>
        <w:t>-</w:t>
      </w:r>
      <w:r>
        <w:rPr>
          <w:rFonts w:eastAsia="仿宋"/>
          <w:sz w:val="28"/>
          <w:szCs w:val="28"/>
        </w:rPr>
        <w:t>2020年）》（以下简称“现行规划”）进行调整完善。</w:t>
      </w:r>
    </w:p>
    <w:p>
      <w:pPr>
        <w:ind w:firstLine="555"/>
        <w:rPr>
          <w:rFonts w:eastAsia="仿宋"/>
          <w:sz w:val="28"/>
          <w:szCs w:val="28"/>
        </w:rPr>
      </w:pPr>
      <w:r>
        <w:rPr>
          <w:rFonts w:eastAsia="仿宋"/>
          <w:sz w:val="28"/>
          <w:szCs w:val="28"/>
        </w:rPr>
        <w:t>本调整方案基础数据年为2014年，规划目标年为2020年</w:t>
      </w:r>
      <w:r>
        <w:rPr>
          <w:rFonts w:hint="eastAsia" w:eastAsia="仿宋"/>
          <w:sz w:val="28"/>
          <w:szCs w:val="28"/>
        </w:rPr>
        <w:t>。</w:t>
      </w:r>
      <w:r>
        <w:rPr>
          <w:rFonts w:eastAsia="仿宋"/>
          <w:sz w:val="28"/>
          <w:szCs w:val="28"/>
        </w:rPr>
        <w:t>2014年底南山城镇土地总面积为</w:t>
      </w:r>
      <w:r>
        <w:rPr>
          <w:rFonts w:eastAsia="仿宋_GB2312"/>
          <w:color w:val="000000"/>
          <w:sz w:val="28"/>
          <w:szCs w:val="28"/>
        </w:rPr>
        <w:t>42688.3</w:t>
      </w:r>
      <w:r>
        <w:rPr>
          <w:rFonts w:eastAsia="仿宋"/>
          <w:sz w:val="28"/>
          <w:szCs w:val="28"/>
        </w:rPr>
        <w:t>公顷，</w:t>
      </w:r>
      <w:r>
        <w:rPr>
          <w:rFonts w:hint="eastAsia" w:eastAsia="仿宋"/>
          <w:sz w:val="28"/>
          <w:szCs w:val="28"/>
        </w:rPr>
        <w:t>下辖大秧上堡村、东五里堡村、东庙村、中堡村、大枉沟村、杨树崴子村、三道河村、甘井子村、三盛堡村、秀水甸村、三道岭村、二道河村、下堡村、南山城村、南小堡村、靠山屯村、太平甸村、龙头堡村、大北岔村、黑石头村、四道碱场村、九道沟村、苇塘村等23个行政村</w:t>
      </w:r>
      <w:r>
        <w:rPr>
          <w:rFonts w:eastAsia="仿宋"/>
          <w:sz w:val="28"/>
          <w:szCs w:val="28"/>
        </w:rPr>
        <w:t>。本调整方案未涉及的部分按照现行规划执行，与现行规划共同组成了实行最严格土地管理制度的纲领性文件，是落实土地用途管制和建设用地空间管制、规划各项建设和统筹土地利用的基本依据。</w:t>
      </w:r>
    </w:p>
    <w:p>
      <w:pPr>
        <w:ind w:firstLine="555"/>
        <w:rPr>
          <w:rFonts w:eastAsia="仿宋"/>
          <w:sz w:val="28"/>
          <w:szCs w:val="28"/>
        </w:rPr>
      </w:pPr>
    </w:p>
    <w:bookmarkEnd w:id="20"/>
    <w:bookmarkEnd w:id="21"/>
    <w:bookmarkEnd w:id="22"/>
    <w:bookmarkEnd w:id="23"/>
    <w:bookmarkEnd w:id="24"/>
    <w:bookmarkEnd w:id="25"/>
    <w:p>
      <w:pPr>
        <w:pStyle w:val="2"/>
        <w:pageBreakBefore/>
        <w:numPr>
          <w:ilvl w:val="0"/>
          <w:numId w:val="1"/>
        </w:numPr>
        <w:spacing w:beforeLines="100" w:afterLines="100" w:line="240" w:lineRule="auto"/>
        <w:ind w:firstLine="723" w:firstLineChars="200"/>
        <w:jc w:val="left"/>
        <w:rPr>
          <w:rFonts w:eastAsia="黑体"/>
          <w:sz w:val="36"/>
          <w:szCs w:val="36"/>
        </w:rPr>
      </w:pPr>
      <w:bookmarkStart w:id="26" w:name="_Toc501034252"/>
      <w:r>
        <w:rPr>
          <w:rFonts w:hint="eastAsia" w:eastAsia="黑体"/>
          <w:sz w:val="36"/>
          <w:szCs w:val="36"/>
        </w:rPr>
        <w:t>调整指导思想</w:t>
      </w:r>
      <w:bookmarkEnd w:id="26"/>
    </w:p>
    <w:p>
      <w:pPr>
        <w:pStyle w:val="3"/>
        <w:numPr>
          <w:ilvl w:val="2"/>
          <w:numId w:val="2"/>
        </w:numPr>
        <w:tabs>
          <w:tab w:val="left" w:pos="540"/>
        </w:tabs>
        <w:spacing w:before="0" w:after="0" w:line="240" w:lineRule="auto"/>
        <w:ind w:firstLine="602" w:firstLineChars="200"/>
        <w:jc w:val="left"/>
        <w:rPr>
          <w:rFonts w:ascii="Times New Roman" w:hAnsi="Times New Roman" w:eastAsia="宋体"/>
          <w:sz w:val="30"/>
          <w:szCs w:val="30"/>
        </w:rPr>
      </w:pPr>
      <w:bookmarkStart w:id="27" w:name="_Toc501034253"/>
      <w:r>
        <w:rPr>
          <w:rFonts w:ascii="Times New Roman" w:hAnsi="Times New Roman" w:eastAsia="宋体"/>
          <w:sz w:val="30"/>
          <w:szCs w:val="30"/>
        </w:rPr>
        <w:t>指导思想</w:t>
      </w:r>
      <w:bookmarkEnd w:id="27"/>
    </w:p>
    <w:p>
      <w:pPr>
        <w:spacing w:line="360" w:lineRule="auto"/>
        <w:ind w:firstLine="560" w:firstLineChars="200"/>
        <w:jc w:val="left"/>
        <w:rPr>
          <w:rFonts w:eastAsia="仿宋"/>
          <w:sz w:val="28"/>
          <w:szCs w:val="28"/>
        </w:rPr>
      </w:pPr>
      <w:r>
        <w:rPr>
          <w:rFonts w:eastAsia="仿宋"/>
          <w:sz w:val="28"/>
          <w:szCs w:val="28"/>
        </w:rPr>
        <w:t>全面贯彻党的</w:t>
      </w:r>
      <w:r>
        <w:rPr>
          <w:rFonts w:hint="eastAsia" w:eastAsia="仿宋"/>
          <w:sz w:val="28"/>
          <w:szCs w:val="28"/>
          <w:lang w:eastAsia="zh-CN"/>
        </w:rPr>
        <w:t>十九大</w:t>
      </w:r>
      <w:r>
        <w:rPr>
          <w:rFonts w:eastAsia="仿宋"/>
          <w:sz w:val="28"/>
          <w:szCs w:val="28"/>
        </w:rPr>
        <w:t>精神，深入贯彻习近平总书记系列重要讲话精神，紧紧围绕统筹推进“五位一体”总体布局和协调推进“四个全面”战略布局，牢固树立和贯彻落实“创新、协调、绿色、开放、共享”发展新理念，认真落实抚顺市</w:t>
      </w:r>
      <w:r>
        <w:rPr>
          <w:rFonts w:hint="eastAsia" w:eastAsia="仿宋"/>
          <w:sz w:val="28"/>
          <w:szCs w:val="28"/>
          <w:lang w:eastAsia="zh-CN"/>
        </w:rPr>
        <w:t>和清原县人民政府</w:t>
      </w:r>
      <w:r>
        <w:rPr>
          <w:rFonts w:eastAsia="仿宋"/>
          <w:sz w:val="28"/>
          <w:szCs w:val="28"/>
        </w:rPr>
        <w:t>的决策部署，把握新一轮东北老工业基地全面振兴、</w:t>
      </w:r>
      <w:r>
        <w:rPr>
          <w:rFonts w:hint="eastAsia" w:eastAsia="仿宋"/>
          <w:sz w:val="28"/>
          <w:szCs w:val="28"/>
        </w:rPr>
        <w:t>统筹经济发展新常态和土地利用</w:t>
      </w:r>
      <w:r>
        <w:rPr>
          <w:rFonts w:eastAsia="仿宋"/>
          <w:sz w:val="28"/>
          <w:szCs w:val="28"/>
        </w:rPr>
        <w:t>，以保护资源、保障发展、保育生态为主线，</w:t>
      </w:r>
      <w:r>
        <w:rPr>
          <w:rFonts w:hint="eastAsia" w:eastAsia="仿宋"/>
          <w:sz w:val="28"/>
          <w:szCs w:val="28"/>
          <w:lang w:eastAsia="zh-CN"/>
        </w:rPr>
        <w:t>为</w:t>
      </w:r>
      <w:r>
        <w:rPr>
          <w:rFonts w:hint="eastAsia" w:eastAsia="仿宋"/>
          <w:sz w:val="28"/>
          <w:szCs w:val="28"/>
          <w:lang w:val="en-US" w:eastAsia="zh-CN"/>
        </w:rPr>
        <w:t>南山城</w:t>
      </w:r>
      <w:r>
        <w:rPr>
          <w:rFonts w:hint="eastAsia" w:eastAsia="仿宋"/>
          <w:sz w:val="28"/>
          <w:szCs w:val="28"/>
        </w:rPr>
        <w:t>镇经济社会全面协调可持续发展</w:t>
      </w:r>
      <w:r>
        <w:rPr>
          <w:rFonts w:hint="eastAsia" w:eastAsia="仿宋"/>
          <w:sz w:val="28"/>
          <w:szCs w:val="28"/>
          <w:lang w:eastAsia="zh-CN"/>
        </w:rPr>
        <w:t>提供全方位用地</w:t>
      </w:r>
      <w:r>
        <w:rPr>
          <w:rFonts w:hint="eastAsia" w:eastAsia="仿宋"/>
          <w:sz w:val="28"/>
          <w:szCs w:val="28"/>
        </w:rPr>
        <w:t>保障。</w:t>
      </w:r>
    </w:p>
    <w:p>
      <w:pPr>
        <w:pStyle w:val="3"/>
        <w:numPr>
          <w:ilvl w:val="2"/>
          <w:numId w:val="2"/>
        </w:numPr>
        <w:tabs>
          <w:tab w:val="left" w:pos="540"/>
        </w:tabs>
        <w:spacing w:before="0" w:after="0" w:line="240" w:lineRule="auto"/>
        <w:ind w:firstLine="602" w:firstLineChars="200"/>
        <w:jc w:val="left"/>
        <w:rPr>
          <w:rFonts w:ascii="Times New Roman" w:hAnsi="Times New Roman" w:eastAsia="宋体"/>
          <w:sz w:val="30"/>
          <w:szCs w:val="30"/>
        </w:rPr>
      </w:pPr>
      <w:bookmarkStart w:id="28" w:name="_Toc501034254"/>
      <w:r>
        <w:rPr>
          <w:rFonts w:ascii="Times New Roman" w:hAnsi="Times New Roman" w:eastAsia="宋体"/>
          <w:sz w:val="30"/>
          <w:szCs w:val="30"/>
        </w:rPr>
        <w:t>调整原则</w:t>
      </w:r>
      <w:bookmarkEnd w:id="28"/>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总体稳定、局部微调。</w:t>
      </w:r>
      <w:r>
        <w:rPr>
          <w:rFonts w:ascii="Times New Roman" w:eastAsia="仿宋"/>
          <w:sz w:val="28"/>
          <w:szCs w:val="28"/>
        </w:rPr>
        <w:t>坚持现行规划确定的土地利用指导原则、总体战略和主要任务基本不变，继续实施现行规划确定的土地利用区域统筹调控政策、土地利用重点项目和规划实施管理制度。局部调整完善现行规划，落实上级下达的耕地和基本农田保护任务，优化基本农田、建设用地和生态用地布局，切实维护规划的严肃性、权威性和可操作性。</w:t>
      </w:r>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应保尽保、量质并重。</w:t>
      </w:r>
      <w:r>
        <w:rPr>
          <w:rFonts w:ascii="Times New Roman" w:eastAsia="仿宋"/>
          <w:sz w:val="28"/>
          <w:szCs w:val="28"/>
        </w:rPr>
        <w:t>实施最严格的耕地保护制度，确保耕地数量基本稳定、质量不降低，同时强化耕地数量、质量和生态管护。对第二次土地调查查明增加的耕地，除根据国家统一部署纳入生态退耕规划和根据相关规划需要占用的外，均予以保护；优质耕地除实施国家重大发展战略和省、市区域发展战略及“十三五”重点建设项目难以避让的以外，均应优先划入基本农田，实行永久保护。</w:t>
      </w:r>
    </w:p>
    <w:p>
      <w:pPr>
        <w:pStyle w:val="33"/>
        <w:numPr>
          <w:ilvl w:val="0"/>
          <w:numId w:val="3"/>
        </w:numPr>
        <w:tabs>
          <w:tab w:val="left" w:pos="360"/>
        </w:tabs>
        <w:spacing w:line="360" w:lineRule="auto"/>
        <w:ind w:firstLine="562"/>
        <w:rPr>
          <w:rFonts w:ascii="Times New Roman" w:eastAsia="仿宋"/>
          <w:b/>
          <w:sz w:val="28"/>
          <w:szCs w:val="28"/>
        </w:rPr>
      </w:pPr>
      <w:r>
        <w:rPr>
          <w:rFonts w:ascii="Times New Roman" w:eastAsia="仿宋"/>
          <w:b/>
          <w:sz w:val="28"/>
          <w:szCs w:val="28"/>
        </w:rPr>
        <w:t>节约集约、优化结构。</w:t>
      </w:r>
      <w:r>
        <w:rPr>
          <w:rFonts w:ascii="Times New Roman" w:eastAsia="仿宋"/>
          <w:sz w:val="28"/>
          <w:szCs w:val="28"/>
        </w:rPr>
        <w:t>按照坚定不移地推进节约用地的总要求，有效控制建设用地总量，避免建设用地不合理外延扩张；统筹建设用地增量与存量，注重存量挖潜和低效用地改造，优化建设用地结构和布局，统筹配置生产、生活、生态用地，优化国土空间开发格局；适当增加新增建设用地规模，保障新型工业化、新型城镇化和新农村建设用地需求。</w:t>
      </w:r>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统筹兼顾、突出重点。</w:t>
      </w:r>
      <w:r>
        <w:rPr>
          <w:rFonts w:ascii="Times New Roman" w:eastAsia="仿宋"/>
          <w:sz w:val="28"/>
          <w:szCs w:val="28"/>
        </w:rPr>
        <w:t>正确处理开发与保护、当前与长远、局部与全局的关系，突出耕地和基本农田调整、建设用地结构与布局优化，构建并不断完善促进耕地保护、节约用地和生态文明建设的用地政策机制，统筹配置区域发展、产业发展、城乡建设、基础设施建设、生态建设和环境保护用地。</w:t>
      </w:r>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加强协调、充分衔接。</w:t>
      </w:r>
      <w:r>
        <w:rPr>
          <w:rFonts w:ascii="Times New Roman" w:eastAsia="仿宋"/>
          <w:sz w:val="28"/>
          <w:szCs w:val="28"/>
        </w:rPr>
        <w:t>坚持科学论证、标准统一、民主决策，强化土地利用总体规划与经济社会发展规划、城乡规划、生态环境保护规划、林业保护规划和生产力布局、基础设施布局等相关专业规划的协调衔接，强化规划自上而下控制，不断完善土地用途管制和建设用地空间管制制度。</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29" w:name="_Toc501034255"/>
      <w:r>
        <w:rPr>
          <w:rFonts w:eastAsia="黑体"/>
          <w:sz w:val="36"/>
          <w:szCs w:val="36"/>
        </w:rPr>
        <w:t>主要规划目标调整</w:t>
      </w:r>
      <w:bookmarkEnd w:id="29"/>
    </w:p>
    <w:p>
      <w:pPr>
        <w:pStyle w:val="3"/>
        <w:numPr>
          <w:ilvl w:val="0"/>
          <w:numId w:val="4"/>
        </w:numPr>
        <w:tabs>
          <w:tab w:val="left" w:pos="540"/>
        </w:tabs>
        <w:spacing w:before="0" w:after="0" w:line="240" w:lineRule="auto"/>
        <w:ind w:firstLine="602" w:firstLineChars="200"/>
        <w:jc w:val="left"/>
        <w:rPr>
          <w:rFonts w:ascii="Times New Roman" w:hAnsi="Times New Roman" w:eastAsia="宋体"/>
          <w:sz w:val="30"/>
          <w:szCs w:val="30"/>
        </w:rPr>
      </w:pPr>
      <w:bookmarkStart w:id="30" w:name="_Toc501034256"/>
      <w:r>
        <w:rPr>
          <w:rFonts w:ascii="Times New Roman" w:hAnsi="Times New Roman" w:eastAsia="宋体"/>
          <w:sz w:val="30"/>
          <w:szCs w:val="30"/>
        </w:rPr>
        <w:t>耕地和基本农田保护任务</w:t>
      </w:r>
      <w:bookmarkEnd w:id="30"/>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全面落实耕地和基本农田保护任务，确保实有耕地面积基本稳定，基本农田数量不减少、质量有提高、布局总体稳定。到 2020年，全镇耕地保有量</w:t>
      </w:r>
      <w:r>
        <w:rPr>
          <w:rFonts w:hint="eastAsia" w:ascii="Times New Roman" w:eastAsia="仿宋"/>
          <w:sz w:val="28"/>
          <w:szCs w:val="28"/>
        </w:rPr>
        <w:t>不低于</w:t>
      </w:r>
      <w:r>
        <w:rPr>
          <w:rFonts w:ascii="Times New Roman" w:eastAsia="仿宋"/>
          <w:sz w:val="28"/>
          <w:szCs w:val="28"/>
        </w:rPr>
        <w:t>8965.7公顷，基本农田</w:t>
      </w:r>
      <w:r>
        <w:rPr>
          <w:rFonts w:hint="eastAsia" w:ascii="Times New Roman" w:eastAsia="仿宋"/>
          <w:sz w:val="28"/>
          <w:szCs w:val="28"/>
        </w:rPr>
        <w:t>保护</w:t>
      </w:r>
      <w:r>
        <w:rPr>
          <w:rFonts w:ascii="Times New Roman" w:eastAsia="仿宋"/>
          <w:sz w:val="28"/>
          <w:szCs w:val="28"/>
        </w:rPr>
        <w:t>面积</w:t>
      </w:r>
      <w:r>
        <w:rPr>
          <w:rFonts w:hint="eastAsia" w:ascii="Times New Roman" w:eastAsia="仿宋"/>
          <w:sz w:val="28"/>
          <w:szCs w:val="28"/>
        </w:rPr>
        <w:t>不低于</w:t>
      </w:r>
      <w:r>
        <w:rPr>
          <w:rFonts w:ascii="Times New Roman" w:eastAsia="仿宋"/>
          <w:sz w:val="28"/>
          <w:szCs w:val="28"/>
        </w:rPr>
        <w:t>6625.4公顷。</w:t>
      </w:r>
    </w:p>
    <w:p>
      <w:pPr>
        <w:pStyle w:val="3"/>
        <w:numPr>
          <w:ilvl w:val="0"/>
          <w:numId w:val="4"/>
        </w:numPr>
        <w:tabs>
          <w:tab w:val="left" w:pos="540"/>
        </w:tabs>
        <w:spacing w:before="0" w:after="0" w:line="240" w:lineRule="auto"/>
        <w:ind w:firstLine="602" w:firstLineChars="200"/>
        <w:jc w:val="left"/>
        <w:rPr>
          <w:rFonts w:ascii="Times New Roman" w:hAnsi="Times New Roman" w:eastAsia="宋体"/>
          <w:sz w:val="30"/>
          <w:szCs w:val="30"/>
        </w:rPr>
      </w:pPr>
      <w:bookmarkStart w:id="31" w:name="_Toc501034257"/>
      <w:r>
        <w:rPr>
          <w:rFonts w:ascii="Times New Roman" w:hAnsi="Times New Roman" w:eastAsia="宋体"/>
          <w:sz w:val="30"/>
          <w:szCs w:val="30"/>
        </w:rPr>
        <w:t>建设用地控制指标</w:t>
      </w:r>
      <w:bookmarkEnd w:id="31"/>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全面实施建设用地总量和强度双控行动，建设用地空间得到合理拓展，科学发展用地得到有效保障，节约集约用地水平显著提高。到 2020 年，全镇新增建设用地总量控制在10.0公顷以内，建设用地总规模控制在1011.6公顷以内，城乡建设用地控制在553.0公顷以内，城镇工矿用地控制在88.0公顷以内，交通水利及其他建设用地控制在458.6公顷以内，人均城镇工矿用地不超过108.0平方米。</w:t>
      </w:r>
    </w:p>
    <w:p>
      <w:pPr>
        <w:pStyle w:val="3"/>
        <w:numPr>
          <w:ilvl w:val="0"/>
          <w:numId w:val="4"/>
        </w:numPr>
        <w:tabs>
          <w:tab w:val="left" w:pos="540"/>
        </w:tabs>
        <w:spacing w:before="0" w:after="0" w:line="240" w:lineRule="auto"/>
        <w:ind w:firstLine="602" w:firstLineChars="200"/>
        <w:jc w:val="left"/>
        <w:rPr>
          <w:rFonts w:ascii="Times New Roman" w:hAnsi="Times New Roman" w:eastAsia="宋体"/>
          <w:sz w:val="30"/>
          <w:szCs w:val="30"/>
        </w:rPr>
      </w:pPr>
      <w:bookmarkStart w:id="32" w:name="_Toc501034258"/>
      <w:r>
        <w:rPr>
          <w:rFonts w:ascii="Times New Roman" w:hAnsi="Times New Roman" w:eastAsia="宋体"/>
          <w:sz w:val="30"/>
          <w:szCs w:val="30"/>
        </w:rPr>
        <w:t>其他规划调控指标</w:t>
      </w:r>
      <w:bookmarkEnd w:id="32"/>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稳步提高园地综合产能，加强林地保护和建设，</w:t>
      </w:r>
      <w:r>
        <w:rPr>
          <w:rFonts w:hint="eastAsia" w:ascii="Times New Roman" w:eastAsia="仿宋"/>
          <w:sz w:val="28"/>
          <w:szCs w:val="28"/>
        </w:rPr>
        <w:t>推进牧草地改造增效</w:t>
      </w:r>
      <w:r>
        <w:rPr>
          <w:rFonts w:ascii="Times New Roman" w:eastAsia="仿宋"/>
          <w:sz w:val="28"/>
          <w:szCs w:val="28"/>
        </w:rPr>
        <w:t>，到2020年，全镇园地</w:t>
      </w:r>
      <w:r>
        <w:rPr>
          <w:rFonts w:hint="eastAsia" w:ascii="Times New Roman" w:eastAsia="仿宋"/>
          <w:sz w:val="28"/>
          <w:szCs w:val="28"/>
        </w:rPr>
        <w:t>、</w:t>
      </w:r>
      <w:r>
        <w:rPr>
          <w:rFonts w:ascii="Times New Roman" w:eastAsia="仿宋"/>
          <w:sz w:val="28"/>
          <w:szCs w:val="28"/>
        </w:rPr>
        <w:t>林地</w:t>
      </w:r>
      <w:r>
        <w:rPr>
          <w:rFonts w:hint="eastAsia" w:ascii="Times New Roman" w:eastAsia="仿宋"/>
          <w:sz w:val="28"/>
          <w:szCs w:val="28"/>
        </w:rPr>
        <w:t>和</w:t>
      </w:r>
      <w:r>
        <w:rPr>
          <w:rFonts w:ascii="Times New Roman" w:eastAsia="仿宋"/>
          <w:sz w:val="28"/>
          <w:szCs w:val="28"/>
        </w:rPr>
        <w:t>牧草地分别保持在</w:t>
      </w:r>
      <w:r>
        <w:rPr>
          <w:rFonts w:hint="eastAsia" w:ascii="Times New Roman" w:eastAsia="仿宋"/>
          <w:sz w:val="28"/>
          <w:szCs w:val="28"/>
          <w:lang w:val="en-US" w:eastAsia="zh-CN"/>
        </w:rPr>
        <w:t>8</w:t>
      </w:r>
      <w:r>
        <w:rPr>
          <w:rFonts w:hint="eastAsia" w:ascii="Times New Roman" w:eastAsia="仿宋"/>
          <w:sz w:val="28"/>
          <w:szCs w:val="28"/>
        </w:rPr>
        <w:t>2.4</w:t>
      </w:r>
      <w:r>
        <w:rPr>
          <w:rFonts w:ascii="Times New Roman" w:eastAsia="仿宋"/>
          <w:sz w:val="28"/>
          <w:szCs w:val="28"/>
        </w:rPr>
        <w:t>公顷、30688.7公顷、</w:t>
      </w:r>
      <w:r>
        <w:rPr>
          <w:rFonts w:hint="eastAsia" w:ascii="Times New Roman" w:eastAsia="仿宋"/>
          <w:sz w:val="28"/>
          <w:szCs w:val="28"/>
        </w:rPr>
        <w:t>582.8</w:t>
      </w:r>
      <w:r>
        <w:rPr>
          <w:rFonts w:ascii="Times New Roman" w:eastAsia="仿宋"/>
          <w:sz w:val="28"/>
          <w:szCs w:val="28"/>
        </w:rPr>
        <w:t>公顷；严格控制非农建设占用农用地和耕地，强化土地整治补充耕地，到2020年，全镇新增建设占用农用地和新增建设占用耕地分别控制在4.0公顷和3.0公顷，土地整治补充耕地规模</w:t>
      </w:r>
      <w:r>
        <w:rPr>
          <w:rFonts w:hint="eastAsia" w:ascii="Times New Roman" w:eastAsia="仿宋"/>
          <w:sz w:val="28"/>
          <w:szCs w:val="28"/>
          <w:lang w:eastAsia="zh-CN"/>
        </w:rPr>
        <w:t>义务量</w:t>
      </w:r>
      <w:r>
        <w:rPr>
          <w:rFonts w:hint="eastAsia" w:ascii="Times New Roman" w:eastAsia="仿宋"/>
          <w:sz w:val="28"/>
          <w:szCs w:val="28"/>
          <w:lang w:val="en-US" w:eastAsia="zh-CN"/>
        </w:rPr>
        <w:t>3.0</w:t>
      </w:r>
      <w:r>
        <w:rPr>
          <w:rFonts w:ascii="Times New Roman" w:eastAsia="仿宋"/>
          <w:sz w:val="28"/>
          <w:szCs w:val="28"/>
        </w:rPr>
        <w:t>公顷</w:t>
      </w:r>
      <w:r>
        <w:rPr>
          <w:rFonts w:hint="eastAsia" w:ascii="Times New Roman" w:eastAsia="仿宋"/>
          <w:sz w:val="28"/>
          <w:szCs w:val="28"/>
          <w:lang w:eastAsia="zh-CN"/>
        </w:rPr>
        <w:t>，任务量</w:t>
      </w:r>
      <w:r>
        <w:rPr>
          <w:rFonts w:hint="eastAsia" w:ascii="Times New Roman" w:eastAsia="仿宋"/>
          <w:sz w:val="28"/>
          <w:szCs w:val="28"/>
          <w:lang w:val="en-US" w:eastAsia="zh-CN"/>
        </w:rPr>
        <w:t>144.9公顷</w:t>
      </w:r>
      <w:r>
        <w:rPr>
          <w:rFonts w:ascii="Times New Roman" w:eastAsia="仿宋"/>
          <w:sz w:val="28"/>
          <w:szCs w:val="28"/>
        </w:rPr>
        <w:t>。</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33" w:name="_Toc501034259"/>
      <w:r>
        <w:rPr>
          <w:rFonts w:eastAsia="黑体"/>
          <w:sz w:val="36"/>
          <w:szCs w:val="36"/>
        </w:rPr>
        <w:t>耕地和基本农田管护</w:t>
      </w:r>
      <w:bookmarkEnd w:id="33"/>
    </w:p>
    <w:p>
      <w:pPr>
        <w:pStyle w:val="3"/>
        <w:numPr>
          <w:ilvl w:val="0"/>
          <w:numId w:val="5"/>
        </w:numPr>
        <w:tabs>
          <w:tab w:val="left" w:pos="540"/>
        </w:tabs>
        <w:spacing w:before="0" w:after="0" w:line="240" w:lineRule="auto"/>
        <w:ind w:left="0" w:firstLine="602" w:firstLineChars="200"/>
        <w:jc w:val="left"/>
        <w:rPr>
          <w:rFonts w:ascii="Times New Roman" w:hAnsi="Times New Roman" w:eastAsia="宋体"/>
          <w:sz w:val="30"/>
          <w:szCs w:val="30"/>
        </w:rPr>
      </w:pPr>
      <w:bookmarkStart w:id="34" w:name="_Toc501034260"/>
      <w:r>
        <w:rPr>
          <w:rFonts w:ascii="Times New Roman" w:hAnsi="Times New Roman" w:eastAsia="宋体"/>
          <w:sz w:val="30"/>
          <w:szCs w:val="30"/>
        </w:rPr>
        <w:t>强化耕地数量与质量保护</w:t>
      </w:r>
      <w:bookmarkEnd w:id="34"/>
    </w:p>
    <w:p>
      <w:pPr>
        <w:pStyle w:val="33"/>
        <w:numPr>
          <w:ilvl w:val="0"/>
          <w:numId w:val="6"/>
        </w:numPr>
        <w:tabs>
          <w:tab w:val="left" w:pos="360"/>
        </w:tabs>
        <w:spacing w:line="360" w:lineRule="auto"/>
        <w:ind w:firstLine="562"/>
        <w:rPr>
          <w:rFonts w:ascii="Times New Roman" w:eastAsia="仿宋"/>
          <w:b/>
          <w:sz w:val="28"/>
          <w:szCs w:val="28"/>
        </w:rPr>
      </w:pPr>
      <w:r>
        <w:rPr>
          <w:rFonts w:ascii="Times New Roman" w:eastAsia="仿宋"/>
          <w:b/>
          <w:sz w:val="28"/>
          <w:szCs w:val="28"/>
        </w:rPr>
        <w:t>严格控制建设占用耕地。</w:t>
      </w:r>
      <w:r>
        <w:rPr>
          <w:rFonts w:ascii="Times New Roman" w:eastAsia="仿宋"/>
          <w:sz w:val="28"/>
          <w:szCs w:val="28"/>
        </w:rPr>
        <w:t>加强对建设项目用地选址的引导，通过严格供地政策、严格控制项目用地指标、严格市场准入条件等措施，从源头上减少非农建设对耕地的占用。严格控制非农建设占用耕地的规模和速度，加强建设项目选址和用地合理性评价与论证，把是否减少耕地占用作为确定选址方案的重要因素，各项建设尽量不占或少占耕地，确需占用耕地的应尽量占用质量较差的耕地，且必须以补定占、先补后占、占优补优、占水田补水田，以实现耕地数量质量双重平衡。到2020年，全镇新增建设占用耕地规模控制在3.0公顷以内。</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合理引导农业结构调整。</w:t>
      </w:r>
      <w:r>
        <w:rPr>
          <w:rFonts w:ascii="Times New Roman" w:eastAsia="仿宋"/>
          <w:sz w:val="28"/>
          <w:szCs w:val="28"/>
        </w:rPr>
        <w:t>科学引导农用地高效利用，严格控制农业结构调整方向，尽量减少破坏耕作层和农业基础设施，在确保不因农业结构调整降低耕地保有量的前提下，通过经济补偿机制、市场手段引导农业结构调整向有利于稳定耕地面积、提高耕地质量的方向进行；各类防护林、绿化带等生态建设应尽量避免占用耕地，确需占用的，必须按照数量质量相当的原则履行补充耕地义务。到2020年，全镇农业结构调整减少耕地面积控制在</w:t>
      </w:r>
      <w:r>
        <w:rPr>
          <w:rFonts w:hint="eastAsia" w:ascii="Times New Roman" w:eastAsia="仿宋"/>
          <w:sz w:val="28"/>
          <w:szCs w:val="28"/>
        </w:rPr>
        <w:t>887.4</w:t>
      </w:r>
      <w:r>
        <w:rPr>
          <w:rFonts w:ascii="Times New Roman" w:eastAsia="仿宋"/>
          <w:sz w:val="28"/>
          <w:szCs w:val="28"/>
        </w:rPr>
        <w:t>公顷以内。</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规范有序实施生态退耕。</w:t>
      </w:r>
      <w:r>
        <w:rPr>
          <w:rFonts w:ascii="Times New Roman" w:eastAsia="仿宋"/>
          <w:sz w:val="28"/>
          <w:szCs w:val="28"/>
        </w:rPr>
        <w:t>按照生态环境建设需要，有计划、有步骤实施生态退耕，将河流蓄滞洪区内难以改造利用的耕地、重要饮用水水源地保护区内迎水面的坡耕地和生态环境脆弱区域的劣质耕地有序实施退耕还林，有效推进土地生态建设。到2020年，全</w:t>
      </w:r>
      <w:r>
        <w:rPr>
          <w:rFonts w:hint="eastAsia" w:ascii="Times New Roman" w:eastAsia="仿宋"/>
          <w:sz w:val="28"/>
          <w:szCs w:val="28"/>
        </w:rPr>
        <w:t>镇</w:t>
      </w:r>
      <w:r>
        <w:rPr>
          <w:rFonts w:ascii="Times New Roman" w:eastAsia="仿宋"/>
          <w:sz w:val="28"/>
          <w:szCs w:val="28"/>
        </w:rPr>
        <w:t>生态退耕面积控制在</w:t>
      </w:r>
      <w:r>
        <w:rPr>
          <w:rFonts w:hint="eastAsia" w:ascii="Times New Roman" w:eastAsia="仿宋"/>
          <w:sz w:val="28"/>
          <w:szCs w:val="28"/>
        </w:rPr>
        <w:t>50.0</w:t>
      </w:r>
      <w:r>
        <w:rPr>
          <w:rFonts w:ascii="Times New Roman" w:eastAsia="仿宋"/>
          <w:sz w:val="28"/>
          <w:szCs w:val="28"/>
        </w:rPr>
        <w:t>公顷以内。</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防治和复耕灾毁耕地。</w:t>
      </w:r>
      <w:r>
        <w:rPr>
          <w:rFonts w:ascii="Times New Roman" w:eastAsia="仿宋"/>
          <w:sz w:val="28"/>
          <w:szCs w:val="28"/>
        </w:rPr>
        <w:t>加强农业基础设施建设，提高耕地抗灾能力，强化耕地灾情监测，大力防治水冲沙压、泥石流、滑坡、采煤塌陷等损毁耕地，减少自然灾害损毁耕地数量。严格界定灾毁耕地的标准，对灾毁耕地力争及时复垦</w:t>
      </w:r>
      <w:r>
        <w:rPr>
          <w:rFonts w:hint="eastAsia" w:ascii="Times New Roman" w:eastAsia="仿宋"/>
          <w:sz w:val="28"/>
          <w:szCs w:val="28"/>
        </w:rPr>
        <w:t>。</w:t>
      </w:r>
      <w:r>
        <w:rPr>
          <w:rFonts w:ascii="Times New Roman" w:eastAsia="仿宋"/>
          <w:sz w:val="28"/>
          <w:szCs w:val="28"/>
        </w:rPr>
        <w:t>到2020年，全</w:t>
      </w:r>
      <w:r>
        <w:rPr>
          <w:rFonts w:hint="eastAsia" w:ascii="Times New Roman" w:eastAsia="仿宋"/>
          <w:sz w:val="28"/>
          <w:szCs w:val="28"/>
        </w:rPr>
        <w:t>镇</w:t>
      </w:r>
      <w:r>
        <w:rPr>
          <w:rFonts w:ascii="Times New Roman" w:eastAsia="仿宋"/>
          <w:sz w:val="28"/>
          <w:szCs w:val="28"/>
        </w:rPr>
        <w:t>因灾毁</w:t>
      </w:r>
      <w:r>
        <w:rPr>
          <w:rFonts w:hint="eastAsia" w:ascii="Times New Roman" w:eastAsia="仿宋"/>
          <w:sz w:val="28"/>
          <w:szCs w:val="28"/>
        </w:rPr>
        <w:t>损毁导致耕地减少规模不超过6.0</w:t>
      </w:r>
      <w:r>
        <w:rPr>
          <w:rFonts w:ascii="Times New Roman" w:eastAsia="仿宋"/>
          <w:sz w:val="28"/>
          <w:szCs w:val="28"/>
        </w:rPr>
        <w:t>公顷。</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推进土地整治补充耕地。</w:t>
      </w:r>
      <w:r>
        <w:rPr>
          <w:rFonts w:ascii="Times New Roman" w:eastAsia="仿宋"/>
          <w:sz w:val="28"/>
          <w:szCs w:val="28"/>
        </w:rPr>
        <w:t>以增加有效耕地面积、提升耕地质量、提高土地利用率、落实耕地占补平衡和改善生态环境为重点，适度开发宜耕后备资源。到 2020 年，全镇补充耕地</w:t>
      </w:r>
      <w:r>
        <w:rPr>
          <w:rFonts w:hint="eastAsia" w:ascii="Times New Roman" w:eastAsia="仿宋"/>
          <w:sz w:val="28"/>
          <w:szCs w:val="28"/>
        </w:rPr>
        <w:t>规模</w:t>
      </w:r>
      <w:r>
        <w:rPr>
          <w:rFonts w:ascii="Times New Roman" w:eastAsia="仿宋"/>
          <w:sz w:val="28"/>
          <w:szCs w:val="28"/>
        </w:rPr>
        <w:t>力争达到</w:t>
      </w:r>
      <w:r>
        <w:rPr>
          <w:rFonts w:hint="eastAsia" w:ascii="Times New Roman" w:eastAsia="仿宋"/>
          <w:sz w:val="28"/>
          <w:szCs w:val="28"/>
        </w:rPr>
        <w:t>144.9</w:t>
      </w:r>
      <w:r>
        <w:rPr>
          <w:rFonts w:ascii="Times New Roman" w:eastAsia="仿宋"/>
          <w:sz w:val="28"/>
          <w:szCs w:val="28"/>
        </w:rPr>
        <w:t>公顷，其中通过</w:t>
      </w:r>
      <w:r>
        <w:rPr>
          <w:rFonts w:hint="eastAsia" w:ascii="Times New Roman" w:eastAsia="仿宋"/>
          <w:sz w:val="28"/>
          <w:szCs w:val="28"/>
        </w:rPr>
        <w:t>农村建设用地</w:t>
      </w:r>
      <w:r>
        <w:rPr>
          <w:rFonts w:ascii="Times New Roman" w:eastAsia="仿宋"/>
          <w:sz w:val="28"/>
          <w:szCs w:val="28"/>
        </w:rPr>
        <w:t>整理补充耕地</w:t>
      </w:r>
      <w:r>
        <w:rPr>
          <w:rFonts w:hint="eastAsia" w:ascii="Times New Roman" w:eastAsia="仿宋"/>
          <w:sz w:val="28"/>
          <w:szCs w:val="28"/>
        </w:rPr>
        <w:t>77.2</w:t>
      </w:r>
      <w:r>
        <w:rPr>
          <w:rFonts w:ascii="Times New Roman" w:eastAsia="仿宋"/>
          <w:sz w:val="28"/>
          <w:szCs w:val="28"/>
        </w:rPr>
        <w:t>公顷以上，通过</w:t>
      </w:r>
      <w:r>
        <w:rPr>
          <w:rFonts w:hint="eastAsia" w:ascii="Times New Roman" w:eastAsia="仿宋"/>
          <w:sz w:val="28"/>
          <w:szCs w:val="28"/>
        </w:rPr>
        <w:t>工矿废弃地</w:t>
      </w:r>
      <w:r>
        <w:rPr>
          <w:rFonts w:ascii="Times New Roman" w:eastAsia="仿宋"/>
          <w:sz w:val="28"/>
          <w:szCs w:val="28"/>
        </w:rPr>
        <w:t>复垦补充耕地</w:t>
      </w:r>
      <w:r>
        <w:rPr>
          <w:rFonts w:hint="eastAsia" w:ascii="Times New Roman" w:eastAsia="仿宋"/>
          <w:sz w:val="28"/>
          <w:szCs w:val="28"/>
        </w:rPr>
        <w:t>6.5</w:t>
      </w:r>
      <w:r>
        <w:rPr>
          <w:rFonts w:ascii="Times New Roman" w:eastAsia="仿宋"/>
          <w:sz w:val="28"/>
          <w:szCs w:val="28"/>
        </w:rPr>
        <w:t>公顷以上，通过</w:t>
      </w:r>
      <w:r>
        <w:rPr>
          <w:rFonts w:hint="eastAsia" w:ascii="Times New Roman" w:eastAsia="仿宋"/>
          <w:sz w:val="28"/>
          <w:szCs w:val="28"/>
        </w:rPr>
        <w:t>宜耕后备土地资源</w:t>
      </w:r>
      <w:r>
        <w:rPr>
          <w:rFonts w:ascii="Times New Roman" w:eastAsia="仿宋"/>
          <w:sz w:val="28"/>
          <w:szCs w:val="28"/>
        </w:rPr>
        <w:t>开发补充耕地</w:t>
      </w:r>
      <w:r>
        <w:rPr>
          <w:rFonts w:hint="eastAsia" w:ascii="Times New Roman" w:eastAsia="仿宋"/>
          <w:sz w:val="28"/>
          <w:szCs w:val="28"/>
        </w:rPr>
        <w:t>61.2</w:t>
      </w:r>
      <w:r>
        <w:rPr>
          <w:rFonts w:ascii="Times New Roman" w:eastAsia="仿宋"/>
          <w:sz w:val="28"/>
          <w:szCs w:val="28"/>
        </w:rPr>
        <w:t>公顷以上。</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切实加强耕地质量建设。</w:t>
      </w:r>
      <w:r>
        <w:rPr>
          <w:rFonts w:ascii="Times New Roman" w:eastAsia="仿宋"/>
          <w:sz w:val="28"/>
          <w:szCs w:val="28"/>
        </w:rPr>
        <w:t>按照数量、质量和生态全面管护的要求，积极改造中低产田，推广节水、节地、培肥改良技术，开展退化耕地综合治理、污染耕地阻控修复等，加速土壤熟化提质，实施测土配方施肥，强化土壤肥力保护，有效提高耕地产能。强化土地整治工程质量建设，推行补充耕地精准设计，努力提高补充耕地质量。依法剥离建设占用耕地的耕作层，在符合水土保持要求的前提下，用于低等别耕地和新开垦耕地建设。</w:t>
      </w:r>
    </w:p>
    <w:p>
      <w:pPr>
        <w:pStyle w:val="33"/>
        <w:numPr>
          <w:ilvl w:val="0"/>
          <w:numId w:val="6"/>
        </w:numPr>
        <w:tabs>
          <w:tab w:val="left" w:pos="360"/>
        </w:tabs>
        <w:spacing w:line="360" w:lineRule="auto"/>
        <w:ind w:firstLine="562"/>
        <w:rPr>
          <w:rFonts w:ascii="Times New Roman" w:eastAsia="仿宋"/>
          <w:b/>
          <w:sz w:val="28"/>
          <w:szCs w:val="28"/>
        </w:rPr>
      </w:pPr>
      <w:r>
        <w:rPr>
          <w:rFonts w:ascii="Times New Roman" w:eastAsia="仿宋"/>
          <w:b/>
          <w:sz w:val="28"/>
          <w:szCs w:val="28"/>
        </w:rPr>
        <w:t>创建耕地占补平衡机制。</w:t>
      </w:r>
      <w:r>
        <w:rPr>
          <w:rFonts w:ascii="Times New Roman" w:eastAsia="仿宋"/>
          <w:sz w:val="28"/>
          <w:szCs w:val="28"/>
        </w:rPr>
        <w:t>拓展补充耕地途径，统筹实施土地整治、高标准农田建设、城乡建设用地增减挂钩、历史遗留工矿废弃地复垦等项目，新增耕地经核定后用于落实补充耕地任务。切实落实建设占用补充耕地法人责任制，明确补充耕地法定义务，统筹安排补充耕地任务，积极探索耕地占补平衡市场化运作模式，因受客观条件限制，对单独选址建设项目占用耕地确实无法直接做到占优补优、占水田补水田的，采取“补改结合”方式，通过宜耕后备土地资源开发新增耕地和现有耕地提质改造共同落实占优补优、占水田补水田任务，实现耕地数量和质量占补平衡，确保完成上级规划下达的耕地补充任务。</w:t>
      </w:r>
    </w:p>
    <w:p>
      <w:pPr>
        <w:pStyle w:val="3"/>
        <w:numPr>
          <w:ilvl w:val="0"/>
          <w:numId w:val="5"/>
        </w:numPr>
        <w:tabs>
          <w:tab w:val="left" w:pos="540"/>
        </w:tabs>
        <w:spacing w:before="0" w:after="0" w:line="240" w:lineRule="auto"/>
        <w:ind w:left="0" w:firstLine="602" w:firstLineChars="200"/>
        <w:jc w:val="left"/>
        <w:rPr>
          <w:rFonts w:ascii="Times New Roman" w:hAnsi="Times New Roman" w:eastAsia="宋体"/>
          <w:sz w:val="30"/>
          <w:szCs w:val="30"/>
        </w:rPr>
      </w:pPr>
      <w:bookmarkStart w:id="35" w:name="_Toc501034261"/>
      <w:r>
        <w:rPr>
          <w:rFonts w:ascii="Times New Roman" w:hAnsi="Times New Roman" w:eastAsia="宋体"/>
          <w:sz w:val="30"/>
          <w:szCs w:val="30"/>
        </w:rPr>
        <w:t>推进基本农田全面管护</w:t>
      </w:r>
      <w:bookmarkEnd w:id="35"/>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在保持现有基本农田总体稳定的前提下，依据二次调查和耕地质量等别评定成果，按照保护优先和优化布局的原则，规范有序地调整完善基本农田数量和布局，</w:t>
      </w:r>
      <w:r>
        <w:rPr>
          <w:rFonts w:hint="eastAsia" w:ascii="Times New Roman" w:eastAsia="仿宋"/>
          <w:sz w:val="28"/>
          <w:szCs w:val="28"/>
        </w:rPr>
        <w:t>全面落实永久基本农田保护任务</w:t>
      </w:r>
      <w:r>
        <w:rPr>
          <w:rFonts w:ascii="Times New Roman" w:eastAsia="仿宋"/>
          <w:sz w:val="28"/>
          <w:szCs w:val="28"/>
        </w:rPr>
        <w:t>6625.4公顷。</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优化全域永久基本农田布局。</w:t>
      </w:r>
      <w:r>
        <w:rPr>
          <w:rFonts w:ascii="Times New Roman" w:eastAsia="仿宋"/>
          <w:sz w:val="28"/>
          <w:szCs w:val="28"/>
        </w:rPr>
        <w:t>依据基本农田布局调整的有关规定，参考农用地分等成果，优化调整基本农田布局，将纳入新一轮生态退耕的耕地、遭受严重污染无法治理的耕地、严重损毁无法复耕的耕地及现有基本农田中的非耕地调整为一般农田，将</w:t>
      </w:r>
      <w:r>
        <w:rPr>
          <w:rFonts w:hint="eastAsia" w:ascii="Times New Roman" w:eastAsia="仿宋"/>
          <w:sz w:val="28"/>
          <w:szCs w:val="28"/>
        </w:rPr>
        <w:t>城镇</w:t>
      </w:r>
      <w:r>
        <w:rPr>
          <w:rFonts w:ascii="Times New Roman" w:eastAsia="仿宋"/>
          <w:sz w:val="28"/>
          <w:szCs w:val="28"/>
        </w:rPr>
        <w:t>周边、交通沿线现有易被占用的优质耕地和已建成的高标准农田划定为永久基本农田。调整后应确保全镇基本农田面积不低于6625.4公顷，同时要确保调整后基本农田平均质量不降低，且布局调整后基本农田集中连片程度有所提高。</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实行永久基本农田集中保护。</w:t>
      </w:r>
      <w:r>
        <w:rPr>
          <w:rFonts w:ascii="Times New Roman" w:eastAsia="仿宋"/>
          <w:sz w:val="28"/>
          <w:szCs w:val="28"/>
        </w:rPr>
        <w:t>重点保护面积大、集中连片、灌排条件良好、农业生产配套设施完善的粮、油、蔬菜生产基地内的永久基本农田，将基本农田分布集中、优质基本农田所占比例较大的区域划为基本农田集中区。</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严格控制永久基本农田占用。</w:t>
      </w:r>
      <w:r>
        <w:rPr>
          <w:rFonts w:ascii="Times New Roman" w:eastAsia="仿宋"/>
          <w:sz w:val="28"/>
          <w:szCs w:val="28"/>
        </w:rPr>
        <w:t>强化对永久基本农田管控，永久基本农田一经划定，任何单位和个人不得擅自占用，或者擅自改变用途。法律规定的能源、交通、水利、军事设施等国家重点建设项目选址确实难以避让的，在可行性研究阶段，必须对占用的必要性、合理性和补划方案的可行性进行严格论证，并通过国土资源部用地预审，其农用地转用和土地征收依法依规报国务院批准并及时补划数量相等、质量相当的永久基本农田。严禁通过擅自调整县、乡级土地利用总体规划，规避占用永久基本农田的审批。坚决防止永久基本农田“非农化”；不得预留永久基本农田为建设占用留有空间，把永久基本农田保护区边界特别是</w:t>
      </w:r>
      <w:r>
        <w:rPr>
          <w:rFonts w:hint="eastAsia" w:ascii="Times New Roman" w:eastAsia="仿宋"/>
          <w:sz w:val="28"/>
          <w:szCs w:val="28"/>
        </w:rPr>
        <w:t>城镇</w:t>
      </w:r>
      <w:r>
        <w:rPr>
          <w:rFonts w:ascii="Times New Roman" w:eastAsia="仿宋"/>
          <w:sz w:val="28"/>
          <w:szCs w:val="28"/>
        </w:rPr>
        <w:t>周边永久基本农田作为不能随意改变的红线。</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加大永久基本农田建设力度。</w:t>
      </w:r>
      <w:r>
        <w:rPr>
          <w:rFonts w:ascii="Times New Roman" w:eastAsia="仿宋"/>
          <w:sz w:val="28"/>
          <w:szCs w:val="28"/>
        </w:rPr>
        <w:t>在基本农田保护区内大力开展基本农田整理，按照土地平整肥沃、排灌设施配套、田间道路通畅、农田环境良好的要求，积极开展土地平整、灌溉与排水、田间道路、农田防护与生态环境保持等工程建设，改善基本农田生产条件，提高基本农田质量。综合运用经济、行政等手段，积极推进基本农田保护示范区建设。推行依法占用永久基本农田的耕作层土壤剥离再利用，加大土壤改良、地力培肥与治理修复力度，不断提高永久基本农田质量。</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完善永久基本农田保护激励机制。</w:t>
      </w:r>
      <w:r>
        <w:rPr>
          <w:rFonts w:ascii="Times New Roman" w:eastAsia="仿宋"/>
          <w:sz w:val="28"/>
          <w:szCs w:val="28"/>
        </w:rPr>
        <w:t>每块基本农田保护区应设立标志牌，铁路、公路等交通沿线和城镇、村庄周边的显著位置应增设标志牌，一定规模以上及集中连片程度较高的基本农田保护片（块）也应设立标志牌或界桩。同时应落实基本农田保护责任，明确基本农田保护片（块）的村负责人、组责任人（或农户代表）和涉及的农户个数，明确基本农田的范围、面积、片（块）、质量等级、保护措施、当事人的权利与义务、奖励与处罚等内容。逐步实施责、权、利相结合，目标考核与奖惩措施相结合的基本农田保护责任制，把保护责任落到实处；通过基本农田保护补贴，减免保护区地方的相关税费、相关投资向基本农田保护区倾斜等方式，提高农民保护基本农田的主动性和积极性；实行基本农田占用听证和公告制度，加强对基本农田保护的社会监督。</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36" w:name="_Toc501034262"/>
      <w:r>
        <w:rPr>
          <w:rFonts w:eastAsia="黑体"/>
          <w:sz w:val="36"/>
          <w:szCs w:val="36"/>
        </w:rPr>
        <w:t>建设用地保障与管控</w:t>
      </w:r>
      <w:bookmarkEnd w:id="36"/>
    </w:p>
    <w:p>
      <w:pPr>
        <w:pStyle w:val="3"/>
        <w:numPr>
          <w:ilvl w:val="0"/>
          <w:numId w:val="8"/>
        </w:numPr>
        <w:tabs>
          <w:tab w:val="left" w:pos="540"/>
        </w:tabs>
        <w:spacing w:before="0" w:after="0" w:line="240" w:lineRule="auto"/>
        <w:ind w:left="0" w:firstLine="602" w:firstLineChars="200"/>
        <w:jc w:val="left"/>
        <w:rPr>
          <w:rFonts w:ascii="Times New Roman" w:hAnsi="Times New Roman" w:eastAsia="宋体"/>
          <w:sz w:val="30"/>
          <w:szCs w:val="30"/>
        </w:rPr>
      </w:pPr>
      <w:bookmarkStart w:id="37" w:name="_Toc501034263"/>
      <w:r>
        <w:rPr>
          <w:rFonts w:ascii="Times New Roman" w:hAnsi="Times New Roman" w:eastAsia="宋体"/>
          <w:sz w:val="30"/>
          <w:szCs w:val="30"/>
        </w:rPr>
        <w:t>统筹管控建设用地规模</w:t>
      </w:r>
      <w:bookmarkEnd w:id="37"/>
    </w:p>
    <w:p>
      <w:pPr>
        <w:pStyle w:val="33"/>
        <w:numPr>
          <w:ilvl w:val="0"/>
          <w:numId w:val="9"/>
        </w:numPr>
        <w:tabs>
          <w:tab w:val="left" w:pos="360"/>
        </w:tabs>
        <w:spacing w:line="360" w:lineRule="auto"/>
        <w:ind w:firstLine="562"/>
        <w:rPr>
          <w:rFonts w:ascii="Times New Roman" w:eastAsia="仿宋"/>
          <w:b/>
          <w:sz w:val="28"/>
          <w:szCs w:val="28"/>
        </w:rPr>
      </w:pPr>
      <w:r>
        <w:rPr>
          <w:rFonts w:ascii="Times New Roman" w:eastAsia="仿宋"/>
          <w:b/>
          <w:sz w:val="28"/>
          <w:szCs w:val="28"/>
        </w:rPr>
        <w:t>严控建设用地总量规模。</w:t>
      </w:r>
      <w:r>
        <w:rPr>
          <w:rFonts w:ascii="Times New Roman" w:eastAsia="仿宋"/>
          <w:sz w:val="28"/>
          <w:szCs w:val="28"/>
        </w:rPr>
        <w:t>严控建设用地总量规模，用好增量，盘活存量，增加流量，合理安排各类建设用地指标，优先支持重点城</w:t>
      </w:r>
      <w:r>
        <w:rPr>
          <w:rFonts w:hint="eastAsia" w:ascii="Times New Roman" w:eastAsia="仿宋"/>
          <w:sz w:val="28"/>
          <w:szCs w:val="28"/>
        </w:rPr>
        <w:t>区</w:t>
      </w:r>
      <w:r>
        <w:rPr>
          <w:rFonts w:ascii="Times New Roman" w:eastAsia="仿宋"/>
          <w:sz w:val="28"/>
          <w:szCs w:val="28"/>
        </w:rPr>
        <w:t>发展用地及产业集聚区用地，重点保障符合产业发展政策和经济发展需求的重点项目用地，尤其是交通、水利、能源等重大基础设施用地。严格按国家标准进行各项市政基础设施和生态绿化建设；交通、水利、能源等基础设施建设必须严格按照用地标准，要采取先进节地技术，降低基础设施工程用地。到2020年，全镇建设用地总</w:t>
      </w:r>
      <w:r>
        <w:rPr>
          <w:rFonts w:ascii="Times New Roman" w:eastAsia="仿宋"/>
          <w:color w:val="auto"/>
          <w:sz w:val="28"/>
          <w:szCs w:val="28"/>
        </w:rPr>
        <w:t>规模控制在 1011.6公顷以内，新增建设用地规模控制在10.0公顷以内。</w:t>
      </w:r>
    </w:p>
    <w:p>
      <w:pPr>
        <w:pStyle w:val="33"/>
        <w:numPr>
          <w:ilvl w:val="0"/>
          <w:numId w:val="9"/>
        </w:numPr>
        <w:tabs>
          <w:tab w:val="left" w:pos="360"/>
        </w:tabs>
        <w:spacing w:line="360" w:lineRule="auto"/>
        <w:ind w:firstLine="562"/>
        <w:rPr>
          <w:rFonts w:ascii="Times New Roman" w:eastAsia="仿宋"/>
          <w:b/>
          <w:sz w:val="28"/>
          <w:szCs w:val="28"/>
        </w:rPr>
      </w:pPr>
      <w:r>
        <w:rPr>
          <w:rFonts w:ascii="Times New Roman" w:eastAsia="仿宋"/>
          <w:b/>
          <w:sz w:val="28"/>
          <w:szCs w:val="28"/>
        </w:rPr>
        <w:t>强化建设用地时序控制。</w:t>
      </w:r>
      <w:r>
        <w:rPr>
          <w:rFonts w:ascii="Times New Roman" w:eastAsia="仿宋"/>
          <w:sz w:val="28"/>
          <w:szCs w:val="28"/>
        </w:rPr>
        <w:t>强化土地利用年度计划对新增建设用地时序控制，重点做好重点建设项目的年度用地计划。根据土地利用总体规划确定建设用地控制指标和分类用地指标，加强各行业、各部门规划协调，统筹各类、各业、各区域建设用地的供应规模与时序。</w:t>
      </w:r>
    </w:p>
    <w:p>
      <w:pPr>
        <w:pStyle w:val="3"/>
        <w:numPr>
          <w:ilvl w:val="0"/>
          <w:numId w:val="8"/>
        </w:numPr>
        <w:tabs>
          <w:tab w:val="left" w:pos="540"/>
        </w:tabs>
        <w:spacing w:before="0" w:after="0" w:line="240" w:lineRule="auto"/>
        <w:ind w:left="0" w:firstLine="602" w:firstLineChars="200"/>
        <w:jc w:val="left"/>
        <w:rPr>
          <w:rFonts w:ascii="Times New Roman" w:hAnsi="Times New Roman" w:eastAsia="宋体"/>
          <w:sz w:val="30"/>
          <w:szCs w:val="30"/>
        </w:rPr>
      </w:pPr>
      <w:bookmarkStart w:id="38" w:name="_Toc501034264"/>
      <w:r>
        <w:rPr>
          <w:rFonts w:ascii="Times New Roman" w:hAnsi="Times New Roman" w:eastAsia="宋体"/>
          <w:sz w:val="30"/>
          <w:szCs w:val="30"/>
        </w:rPr>
        <w:t>优化配置城乡建设用地</w:t>
      </w:r>
      <w:bookmarkEnd w:id="38"/>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合理规范城乡建设用地。</w:t>
      </w:r>
      <w:r>
        <w:rPr>
          <w:rFonts w:ascii="Times New Roman" w:eastAsia="仿宋"/>
          <w:sz w:val="28"/>
          <w:szCs w:val="28"/>
        </w:rPr>
        <w:t>保障经济社会发展的合理用地需求，坚持“高产、优质、高效、生态、安全”的原则，发挥区域优势，提高土地节约集约利用程度，合理规范城乡建设用地结构，增强辐射带动作用。合理控制南山城镇城乡建设用地规模，优化空间格局，推进城乡一体化协调发展。到2020年，全镇城乡建设用地规模控制</w:t>
      </w:r>
      <w:r>
        <w:rPr>
          <w:rFonts w:ascii="Times New Roman" w:eastAsia="仿宋"/>
          <w:color w:val="auto"/>
          <w:sz w:val="28"/>
          <w:szCs w:val="28"/>
        </w:rPr>
        <w:t>在553.0公</w:t>
      </w:r>
      <w:r>
        <w:rPr>
          <w:rFonts w:ascii="Times New Roman" w:eastAsia="仿宋"/>
          <w:sz w:val="28"/>
          <w:szCs w:val="28"/>
        </w:rPr>
        <w:t>顷以内。</w:t>
      </w:r>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优化配置城镇工矿用地。</w:t>
      </w:r>
      <w:r>
        <w:rPr>
          <w:rFonts w:ascii="Times New Roman" w:eastAsia="仿宋"/>
          <w:sz w:val="28"/>
          <w:szCs w:val="28"/>
        </w:rPr>
        <w:t>根据清原满族自治县经济社会发展趋势，优化城镇工矿用地格局，合理确定城镇工矿用地规模，保障科学发展用地需求。城镇工矿建设原则上不能突破规模边界，可以在扩展边界范围内调整布局。到2020年，全镇城镇工矿用地规</w:t>
      </w:r>
      <w:r>
        <w:rPr>
          <w:rFonts w:ascii="Times New Roman" w:eastAsia="仿宋"/>
          <w:color w:val="auto"/>
          <w:sz w:val="28"/>
          <w:szCs w:val="28"/>
        </w:rPr>
        <w:t>模控制在88.0公顷</w:t>
      </w:r>
      <w:r>
        <w:rPr>
          <w:rFonts w:ascii="Times New Roman" w:eastAsia="仿宋"/>
          <w:sz w:val="28"/>
          <w:szCs w:val="28"/>
        </w:rPr>
        <w:t>以内。</w:t>
      </w:r>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整合规范新农村建设用地。</w:t>
      </w:r>
      <w:r>
        <w:rPr>
          <w:rFonts w:ascii="Times New Roman" w:eastAsia="仿宋"/>
          <w:sz w:val="28"/>
          <w:szCs w:val="28"/>
        </w:rPr>
        <w:t>围绕宜居乡村建设，强化中心村、兼并弱小村、治理空心村、搬迁不宜居村，合理配置“美丽乡村”建设用地。选择地理位置优越、经济较发达、基础设施条件较好、人口规模较大的村作为中心村，中心村各项基础设施应按城镇标准集中布局，因地制宜发展地方产业，鼓励人口和产业向中心村集中，充分发挥中心村的区位优势、规模优势、经济优势，带动周围村屯发展。对中心村周边零散的农村居民点适时地进行归并，改变农村居民点用地效率低现象，促进农村居民点用地由自然形态向规划形态转变。到2020年，全镇农村居民点用地规模控制在</w:t>
      </w:r>
      <w:r>
        <w:rPr>
          <w:rFonts w:hint="eastAsia" w:ascii="Times New Roman" w:eastAsia="仿宋"/>
          <w:color w:val="auto"/>
          <w:sz w:val="28"/>
          <w:szCs w:val="28"/>
          <w:lang w:val="en-US" w:eastAsia="zh-CN"/>
        </w:rPr>
        <w:t>465.0</w:t>
      </w:r>
      <w:r>
        <w:rPr>
          <w:rFonts w:ascii="Times New Roman" w:eastAsia="仿宋"/>
          <w:color w:val="auto"/>
          <w:sz w:val="28"/>
          <w:szCs w:val="28"/>
        </w:rPr>
        <w:t>公</w:t>
      </w:r>
      <w:r>
        <w:rPr>
          <w:rFonts w:ascii="Times New Roman" w:eastAsia="仿宋"/>
          <w:sz w:val="28"/>
          <w:szCs w:val="28"/>
        </w:rPr>
        <w:t>顷以内。</w:t>
      </w:r>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稳步推进城乡建设用地增减挂钩。</w:t>
      </w:r>
      <w:r>
        <w:rPr>
          <w:rFonts w:ascii="Times New Roman" w:eastAsia="仿宋"/>
          <w:sz w:val="28"/>
          <w:szCs w:val="28"/>
        </w:rPr>
        <w:t>按照因地制宜、科学规划、统筹实施、权责挂钩的原则，统筹城镇工矿和新农村建设的用地需求，制定城乡建设用地增减挂钩专项规划，通过建新拆旧和土地整理复垦等措施，有效促进城镇建设用地与农村建设用地的调整置换，优化城乡建设用地结构和布局，为城乡协调发展提供用地空间。</w:t>
      </w:r>
    </w:p>
    <w:p>
      <w:pPr>
        <w:pStyle w:val="33"/>
        <w:numPr>
          <w:ilvl w:val="0"/>
          <w:numId w:val="10"/>
        </w:numPr>
        <w:tabs>
          <w:tab w:val="left" w:pos="360"/>
        </w:tabs>
        <w:spacing w:line="360" w:lineRule="auto"/>
        <w:ind w:firstLine="562"/>
        <w:rPr>
          <w:rFonts w:ascii="Times New Roman" w:eastAsia="仿宋"/>
          <w:b/>
          <w:sz w:val="28"/>
          <w:szCs w:val="28"/>
        </w:rPr>
      </w:pPr>
      <w:r>
        <w:rPr>
          <w:rFonts w:ascii="Times New Roman" w:eastAsia="仿宋"/>
          <w:b/>
          <w:sz w:val="28"/>
          <w:szCs w:val="28"/>
        </w:rPr>
        <w:t>逐步建立人地挂钩机制。</w:t>
      </w:r>
      <w:r>
        <w:rPr>
          <w:rFonts w:ascii="Times New Roman" w:eastAsia="仿宋"/>
          <w:sz w:val="28"/>
          <w:szCs w:val="28"/>
        </w:rPr>
        <w:t>坚持以人定地、人地和谐，根据吸纳农业转移进城落户人口数量，合理确定新增建设用地规模，保障其用地需求，</w:t>
      </w:r>
      <w:r>
        <w:rPr>
          <w:rFonts w:ascii="Times New Roman" w:eastAsia="仿宋"/>
          <w:color w:val="000000"/>
          <w:kern w:val="0"/>
          <w:sz w:val="28"/>
          <w:szCs w:val="28"/>
        </w:rPr>
        <w:t>积极促进新型城镇化健康发展，推进农村建设用地减量化发展，鼓励城镇工矿用地发展充分利用农村居民点，</w:t>
      </w:r>
      <w:r>
        <w:rPr>
          <w:rFonts w:ascii="Times New Roman" w:eastAsia="仿宋"/>
          <w:sz w:val="28"/>
          <w:szCs w:val="28"/>
        </w:rPr>
        <w:t>并坚持最严格的耕地保护和节约用地制度，新增建设用地必须“管住总量、严控增量、盘活存量”，严格执行人均用地标准，充分利用现有建设用地，不占或者尽量少占农用地，切实提高土地利用效率。</w:t>
      </w:r>
    </w:p>
    <w:p>
      <w:pPr>
        <w:pStyle w:val="3"/>
        <w:numPr>
          <w:ilvl w:val="0"/>
          <w:numId w:val="8"/>
        </w:numPr>
        <w:tabs>
          <w:tab w:val="left" w:pos="540"/>
        </w:tabs>
        <w:spacing w:before="0" w:after="0" w:line="240" w:lineRule="auto"/>
        <w:ind w:left="0" w:firstLine="602" w:firstLineChars="200"/>
        <w:jc w:val="left"/>
        <w:rPr>
          <w:rFonts w:ascii="Times New Roman" w:hAnsi="Times New Roman" w:eastAsia="宋体"/>
          <w:sz w:val="30"/>
          <w:szCs w:val="30"/>
        </w:rPr>
      </w:pPr>
      <w:bookmarkStart w:id="39" w:name="_Toc501034265"/>
      <w:r>
        <w:rPr>
          <w:rFonts w:ascii="Times New Roman" w:hAnsi="Times New Roman" w:eastAsia="宋体"/>
          <w:sz w:val="30"/>
          <w:szCs w:val="30"/>
        </w:rPr>
        <w:t>推进基础设施节约用地</w:t>
      </w:r>
      <w:bookmarkEnd w:id="39"/>
    </w:p>
    <w:p>
      <w:pPr>
        <w:pStyle w:val="33"/>
        <w:numPr>
          <w:ilvl w:val="0"/>
          <w:numId w:val="11"/>
        </w:numPr>
        <w:tabs>
          <w:tab w:val="left" w:pos="360"/>
        </w:tabs>
        <w:spacing w:line="360" w:lineRule="auto"/>
        <w:ind w:firstLine="562"/>
        <w:rPr>
          <w:rFonts w:ascii="Times New Roman" w:eastAsia="仿宋"/>
          <w:b/>
          <w:sz w:val="28"/>
          <w:szCs w:val="28"/>
        </w:rPr>
      </w:pPr>
      <w:r>
        <w:rPr>
          <w:rFonts w:ascii="Times New Roman" w:eastAsia="仿宋"/>
          <w:b/>
          <w:sz w:val="28"/>
          <w:szCs w:val="28"/>
        </w:rPr>
        <w:t>合理规划基础设施用地。</w:t>
      </w:r>
      <w:r>
        <w:rPr>
          <w:rFonts w:ascii="Times New Roman" w:eastAsia="仿宋"/>
          <w:sz w:val="28"/>
          <w:szCs w:val="28"/>
        </w:rPr>
        <w:t>按照合理布局、经济可行、控制时序的原则，切实加强重大基础设施用地的科学规划，统筹安排交通、水利、能源等基础设施项目建设。</w:t>
      </w:r>
    </w:p>
    <w:p>
      <w:pPr>
        <w:pStyle w:val="33"/>
        <w:numPr>
          <w:ilvl w:val="0"/>
          <w:numId w:val="11"/>
        </w:numPr>
        <w:tabs>
          <w:tab w:val="left" w:pos="360"/>
        </w:tabs>
        <w:spacing w:line="360" w:lineRule="auto"/>
        <w:ind w:firstLine="562"/>
        <w:rPr>
          <w:rFonts w:ascii="Times New Roman" w:eastAsia="仿宋"/>
          <w:sz w:val="28"/>
          <w:szCs w:val="28"/>
        </w:rPr>
      </w:pPr>
      <w:r>
        <w:rPr>
          <w:rFonts w:ascii="Times New Roman" w:eastAsia="仿宋"/>
          <w:b/>
          <w:sz w:val="28"/>
          <w:szCs w:val="28"/>
        </w:rPr>
        <w:t>严控基础设施用地标准。</w:t>
      </w:r>
      <w:r>
        <w:rPr>
          <w:rFonts w:ascii="Times New Roman" w:eastAsia="仿宋"/>
          <w:sz w:val="28"/>
          <w:szCs w:val="28"/>
        </w:rPr>
        <w:t>按照国家和省制定的各类基础设施建设项目用地标准，严格审查基础设施用地规模，对超标准用地的要坚决核减用地面积。基础设施项目选址、设计、施工中，要采取降低路基高度、提高桥隧比例等先进节地技术，切实降低交通、水利、能路基高度、提高桥隧比例等先进节地技术，切实降低交通、水利、能引导能源、环保等项目压缩用地规模，尽量利用其他土地，不占或少占耕地等农用地。</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40" w:name="_Toc501034266"/>
      <w:r>
        <w:rPr>
          <w:rFonts w:eastAsia="黑体"/>
          <w:sz w:val="36"/>
          <w:szCs w:val="36"/>
        </w:rPr>
        <w:t>土地生态建设与保护</w:t>
      </w:r>
      <w:bookmarkEnd w:id="40"/>
    </w:p>
    <w:p>
      <w:pPr>
        <w:pStyle w:val="3"/>
        <w:numPr>
          <w:ilvl w:val="0"/>
          <w:numId w:val="12"/>
        </w:numPr>
        <w:tabs>
          <w:tab w:val="left" w:pos="540"/>
        </w:tabs>
        <w:spacing w:before="0" w:after="0" w:line="240" w:lineRule="auto"/>
        <w:ind w:left="0" w:firstLine="602" w:firstLineChars="200"/>
        <w:jc w:val="left"/>
        <w:rPr>
          <w:rFonts w:ascii="Times New Roman" w:hAnsi="Times New Roman" w:eastAsia="宋体"/>
          <w:sz w:val="30"/>
          <w:szCs w:val="30"/>
        </w:rPr>
      </w:pPr>
      <w:bookmarkStart w:id="41" w:name="_Toc501034267"/>
      <w:r>
        <w:rPr>
          <w:rFonts w:hint="eastAsia" w:ascii="Times New Roman" w:hAnsi="Times New Roman" w:eastAsia="宋体"/>
          <w:sz w:val="30"/>
          <w:szCs w:val="30"/>
        </w:rPr>
        <w:t>稳定土地生态空间</w:t>
      </w:r>
      <w:bookmarkEnd w:id="41"/>
    </w:p>
    <w:p>
      <w:pPr>
        <w:pStyle w:val="33"/>
        <w:numPr>
          <w:ilvl w:val="0"/>
          <w:numId w:val="13"/>
        </w:numPr>
        <w:tabs>
          <w:tab w:val="left" w:pos="360"/>
        </w:tabs>
        <w:spacing w:line="360" w:lineRule="auto"/>
        <w:ind w:firstLine="562"/>
        <w:rPr>
          <w:rFonts w:ascii="Times New Roman" w:eastAsia="仿宋"/>
          <w:b/>
          <w:sz w:val="28"/>
          <w:szCs w:val="28"/>
        </w:rPr>
      </w:pPr>
      <w:r>
        <w:rPr>
          <w:rFonts w:ascii="Times New Roman" w:eastAsia="仿宋"/>
          <w:b/>
          <w:sz w:val="28"/>
          <w:szCs w:val="28"/>
        </w:rPr>
        <w:t>构建生态安全屏障。</w:t>
      </w:r>
      <w:r>
        <w:rPr>
          <w:rFonts w:ascii="Times New Roman" w:eastAsia="仿宋"/>
          <w:sz w:val="28"/>
        </w:rPr>
        <w:t>清原满族自治县</w:t>
      </w:r>
      <w:r>
        <w:rPr>
          <w:rFonts w:ascii="Times New Roman" w:eastAsia="仿宋"/>
          <w:sz w:val="28"/>
          <w:szCs w:val="28"/>
        </w:rPr>
        <w:t>是辽宁东部重要的生态屏障和水源涵养区，同时也是全国九大重点水源地之一</w:t>
      </w:r>
      <w:r>
        <w:rPr>
          <w:rFonts w:hint="eastAsia" w:ascii="Times New Roman" w:eastAsia="仿宋"/>
          <w:sz w:val="28"/>
          <w:szCs w:val="28"/>
        </w:rPr>
        <w:t>。南山城镇位于清原满族自治县东部，应</w:t>
      </w:r>
      <w:r>
        <w:rPr>
          <w:rFonts w:ascii="Times New Roman" w:eastAsia="仿宋"/>
          <w:sz w:val="28"/>
          <w:szCs w:val="28"/>
        </w:rPr>
        <w:t>坚持林业生态建设和产业发展协调推进，实现生态建设产业化，产业发展生态化。继续实施天然林保护、封山育林、造林绿化、退耕还林等林业生态工程综合治理，</w:t>
      </w:r>
      <w:r>
        <w:rPr>
          <w:rFonts w:ascii="Times New Roman" w:eastAsia="仿宋"/>
          <w:sz w:val="28"/>
        </w:rPr>
        <w:t>以大面积、集中连片的森林</w:t>
      </w:r>
      <w:r>
        <w:rPr>
          <w:rFonts w:hint="eastAsia" w:ascii="Times New Roman" w:eastAsia="仿宋"/>
          <w:sz w:val="28"/>
        </w:rPr>
        <w:t>为基础构建生态安全屏障。</w:t>
      </w:r>
    </w:p>
    <w:p>
      <w:pPr>
        <w:pStyle w:val="33"/>
        <w:numPr>
          <w:ilvl w:val="0"/>
          <w:numId w:val="13"/>
        </w:numPr>
        <w:tabs>
          <w:tab w:val="left" w:pos="360"/>
        </w:tabs>
        <w:spacing w:line="360" w:lineRule="auto"/>
        <w:ind w:firstLine="562"/>
        <w:rPr>
          <w:rFonts w:ascii="Times New Roman" w:eastAsia="仿宋"/>
          <w:b/>
          <w:sz w:val="28"/>
          <w:szCs w:val="28"/>
        </w:rPr>
      </w:pPr>
      <w:r>
        <w:rPr>
          <w:rFonts w:ascii="Times New Roman" w:eastAsia="仿宋"/>
          <w:b/>
          <w:sz w:val="28"/>
          <w:szCs w:val="28"/>
        </w:rPr>
        <w:t>强化生态保护红线管控。</w:t>
      </w:r>
      <w:r>
        <w:rPr>
          <w:rFonts w:ascii="Times New Roman" w:eastAsia="仿宋"/>
          <w:sz w:val="28"/>
        </w:rPr>
        <w:t>严格实施生态红线区域用地管控，推进全域生态化绿色发展。生态红线区域内的各项土地利用活动必须符合保护自然资源、旅游资源、历史文化遗产、饮用水水源和维护生物多样性等要求，禁止在生态红线区域内砍伐、放牧、捕捞、开荒、采矿、挖沙、取土以及从事与其功能定位不相符的建设与开发活动。</w:t>
      </w:r>
    </w:p>
    <w:p>
      <w:pPr>
        <w:pStyle w:val="33"/>
        <w:numPr>
          <w:ilvl w:val="0"/>
          <w:numId w:val="13"/>
        </w:numPr>
        <w:tabs>
          <w:tab w:val="left" w:pos="360"/>
        </w:tabs>
        <w:spacing w:line="360" w:lineRule="auto"/>
        <w:ind w:firstLine="562"/>
        <w:rPr>
          <w:rFonts w:ascii="Times New Roman" w:eastAsia="仿宋"/>
          <w:b/>
          <w:sz w:val="28"/>
          <w:szCs w:val="28"/>
        </w:rPr>
      </w:pPr>
      <w:r>
        <w:rPr>
          <w:rFonts w:ascii="Times New Roman" w:eastAsia="仿宋"/>
          <w:b/>
          <w:sz w:val="28"/>
          <w:szCs w:val="28"/>
        </w:rPr>
        <w:t>严格保护基础性生态用地。</w:t>
      </w:r>
      <w:r>
        <w:rPr>
          <w:rFonts w:ascii="Times New Roman" w:eastAsia="仿宋"/>
          <w:sz w:val="28"/>
          <w:szCs w:val="28"/>
        </w:rPr>
        <w:t>在强化耕地保护的同时，加强对现有林地、水域、自然保护区、风景名胜区、基本农田保护区的生态管制，科学合理的管护林地、河流等生态用地，严格保护基础性生态用地。</w:t>
      </w:r>
      <w:r>
        <w:rPr>
          <w:rFonts w:ascii="Times New Roman" w:eastAsia="仿宋"/>
          <w:sz w:val="28"/>
        </w:rPr>
        <w:t>各部门及乡（镇）需实行山水林田一体化的统筹管理，严格控制对现有的天然和次生的森林植被和野生动物、植物资源的破坏，禁止乱砍滥伐，偷砍盗伐林木及乱捕滥猎野生禽兽；大力推进发展水源涵养林、水土保持林；25°以上的陡坡地实行限期退耕还林还草。</w:t>
      </w:r>
    </w:p>
    <w:p>
      <w:pPr>
        <w:pStyle w:val="33"/>
        <w:numPr>
          <w:ilvl w:val="0"/>
          <w:numId w:val="13"/>
        </w:numPr>
        <w:tabs>
          <w:tab w:val="left" w:pos="360"/>
        </w:tabs>
        <w:spacing w:line="360" w:lineRule="auto"/>
        <w:ind w:firstLine="562"/>
        <w:rPr>
          <w:rFonts w:ascii="Times New Roman" w:eastAsia="仿宋"/>
          <w:b/>
          <w:sz w:val="28"/>
          <w:szCs w:val="28"/>
        </w:rPr>
      </w:pPr>
      <w:r>
        <w:rPr>
          <w:rFonts w:ascii="Times New Roman" w:eastAsia="仿宋"/>
          <w:b/>
          <w:sz w:val="28"/>
          <w:szCs w:val="28"/>
        </w:rPr>
        <w:t>协调建设用地与生态用地的空间布局。</w:t>
      </w:r>
      <w:r>
        <w:rPr>
          <w:rFonts w:ascii="Times New Roman" w:eastAsia="仿宋"/>
          <w:sz w:val="28"/>
          <w:szCs w:val="28"/>
        </w:rPr>
        <w:t>科学安排建设用地布局，建设用地选址充分考虑生态环境因素，避开生态敏感区。在建设用地集聚区，合理配置绿色生态隔离带，以保护生态环境。鼓励城镇组团式发展，实行组团间农田与绿色生态隔离带的有机结合，确保经济和生态建设协调发展。</w:t>
      </w:r>
    </w:p>
    <w:p>
      <w:pPr>
        <w:pStyle w:val="3"/>
        <w:numPr>
          <w:ilvl w:val="0"/>
          <w:numId w:val="12"/>
        </w:numPr>
        <w:tabs>
          <w:tab w:val="left" w:pos="540"/>
        </w:tabs>
        <w:spacing w:before="0" w:after="0" w:line="240" w:lineRule="auto"/>
        <w:ind w:left="0" w:firstLine="602" w:firstLineChars="200"/>
        <w:jc w:val="left"/>
        <w:rPr>
          <w:rFonts w:ascii="Times New Roman" w:hAnsi="Times New Roman" w:eastAsia="宋体"/>
          <w:sz w:val="30"/>
          <w:szCs w:val="30"/>
        </w:rPr>
      </w:pPr>
      <w:bookmarkStart w:id="42" w:name="_Toc499124791"/>
      <w:bookmarkStart w:id="43" w:name="_Toc501034268"/>
      <w:r>
        <w:rPr>
          <w:rFonts w:ascii="Times New Roman" w:hAnsi="Times New Roman" w:eastAsia="宋体"/>
          <w:sz w:val="30"/>
          <w:szCs w:val="30"/>
        </w:rPr>
        <w:t>构建环境友好型土地利用模式</w:t>
      </w:r>
      <w:bookmarkEnd w:id="42"/>
      <w:bookmarkEnd w:id="43"/>
    </w:p>
    <w:p>
      <w:pPr>
        <w:pStyle w:val="33"/>
        <w:numPr>
          <w:ilvl w:val="0"/>
          <w:numId w:val="14"/>
        </w:numPr>
        <w:tabs>
          <w:tab w:val="left" w:pos="360"/>
        </w:tabs>
        <w:spacing w:line="360" w:lineRule="auto"/>
        <w:ind w:firstLine="562"/>
        <w:rPr>
          <w:rFonts w:ascii="Times New Roman" w:eastAsia="仿宋"/>
          <w:b/>
          <w:sz w:val="28"/>
          <w:szCs w:val="28"/>
        </w:rPr>
      </w:pPr>
      <w:r>
        <w:rPr>
          <w:rFonts w:ascii="Times New Roman" w:eastAsia="仿宋"/>
          <w:b/>
          <w:sz w:val="28"/>
          <w:szCs w:val="28"/>
        </w:rPr>
        <w:t>生态农业型土地利用模式。</w:t>
      </w:r>
      <w:r>
        <w:rPr>
          <w:rFonts w:ascii="Times New Roman" w:eastAsia="仿宋"/>
          <w:sz w:val="28"/>
          <w:szCs w:val="28"/>
        </w:rPr>
        <w:t>充分利用</w:t>
      </w:r>
      <w:r>
        <w:rPr>
          <w:rFonts w:hint="eastAsia" w:ascii="Times New Roman" w:eastAsia="仿宋"/>
          <w:sz w:val="28"/>
          <w:szCs w:val="28"/>
        </w:rPr>
        <w:t>南山城镇</w:t>
      </w:r>
      <w:r>
        <w:rPr>
          <w:rFonts w:ascii="Times New Roman" w:eastAsia="仿宋"/>
          <w:sz w:val="28"/>
          <w:szCs w:val="28"/>
        </w:rPr>
        <w:t>良好</w:t>
      </w:r>
      <w:r>
        <w:rPr>
          <w:rFonts w:hint="eastAsia" w:ascii="Times New Roman" w:eastAsia="仿宋"/>
          <w:sz w:val="28"/>
          <w:szCs w:val="28"/>
        </w:rPr>
        <w:t>的</w:t>
      </w:r>
      <w:r>
        <w:rPr>
          <w:rFonts w:ascii="Times New Roman" w:eastAsia="仿宋"/>
          <w:sz w:val="28"/>
          <w:szCs w:val="28"/>
        </w:rPr>
        <w:t>自然条件和丰富的特色农业资源，在大力发展无公害农产品、绿色食品和有机食品的同时，充分发挥农用地的生态功能，协调农业生产与生态保护之间的关系，构建生态农业型土地利用模式。</w:t>
      </w:r>
    </w:p>
    <w:p>
      <w:pPr>
        <w:pStyle w:val="33"/>
        <w:numPr>
          <w:ilvl w:val="0"/>
          <w:numId w:val="14"/>
        </w:numPr>
        <w:tabs>
          <w:tab w:val="left" w:pos="360"/>
        </w:tabs>
        <w:spacing w:line="360" w:lineRule="auto"/>
        <w:ind w:firstLine="562"/>
        <w:rPr>
          <w:rFonts w:ascii="Times New Roman" w:eastAsia="仿宋"/>
          <w:b/>
          <w:sz w:val="28"/>
          <w:szCs w:val="28"/>
        </w:rPr>
      </w:pPr>
      <w:r>
        <w:rPr>
          <w:rFonts w:ascii="Times New Roman" w:eastAsia="仿宋"/>
          <w:b/>
          <w:sz w:val="28"/>
          <w:szCs w:val="28"/>
        </w:rPr>
        <w:t>生态安全型土地利用模式。</w:t>
      </w:r>
      <w:r>
        <w:rPr>
          <w:rFonts w:ascii="Times New Roman" w:eastAsia="仿宋"/>
          <w:sz w:val="28"/>
          <w:szCs w:val="28"/>
        </w:rPr>
        <w:t>严格落实保护区管制规则，加大生态修复和环境保护力度，严禁任何破坏生态环境的土地开发活动，构建生态安全型土地利用模式。</w:t>
      </w:r>
    </w:p>
    <w:p>
      <w:pPr>
        <w:pStyle w:val="33"/>
        <w:numPr>
          <w:ilvl w:val="0"/>
          <w:numId w:val="14"/>
        </w:numPr>
        <w:tabs>
          <w:tab w:val="left" w:pos="360"/>
        </w:tabs>
        <w:spacing w:line="360" w:lineRule="auto"/>
        <w:ind w:firstLine="562"/>
        <w:rPr>
          <w:rFonts w:ascii="Times New Roman" w:eastAsia="仿宋"/>
          <w:b/>
          <w:sz w:val="28"/>
          <w:szCs w:val="28"/>
        </w:rPr>
      </w:pPr>
      <w:r>
        <w:rPr>
          <w:rFonts w:ascii="Times New Roman" w:eastAsia="仿宋"/>
          <w:b/>
          <w:sz w:val="28"/>
          <w:szCs w:val="28"/>
        </w:rPr>
        <w:t>生态旅游型土地利用模式。</w:t>
      </w:r>
      <w:r>
        <w:rPr>
          <w:rFonts w:ascii="Times New Roman" w:eastAsia="仿宋"/>
          <w:sz w:val="28"/>
          <w:szCs w:val="28"/>
        </w:rPr>
        <w:t>科学配置配套设施用地和生态建设用地，</w:t>
      </w:r>
      <w:r>
        <w:rPr>
          <w:rFonts w:ascii="Times New Roman" w:eastAsia="仿宋"/>
          <w:sz w:val="28"/>
        </w:rPr>
        <w:t>同时对于旅游发展涉及自然保护区的，应严格按照自然保护区管理的法律法规从严管理</w:t>
      </w:r>
      <w:r>
        <w:rPr>
          <w:rFonts w:hint="eastAsia" w:ascii="Times New Roman" w:eastAsia="仿宋"/>
          <w:sz w:val="28"/>
        </w:rPr>
        <w:t>，</w:t>
      </w:r>
      <w:r>
        <w:rPr>
          <w:rFonts w:eastAsia="仿宋"/>
          <w:sz w:val="28"/>
        </w:rPr>
        <w:t>控制人为因素对生态环境的干扰，严禁任何破坏生态环境的开发活动，</w:t>
      </w:r>
      <w:r>
        <w:rPr>
          <w:rFonts w:ascii="Times New Roman" w:eastAsia="仿宋"/>
          <w:sz w:val="28"/>
        </w:rPr>
        <w:t>对自然保护区实验区内开展的生态旅游，应依法履行相关审批程序，充分协调生态旅游与自然资源及环境保护之间的关系，构建生态旅游型土地利用模式。</w:t>
      </w:r>
    </w:p>
    <w:p>
      <w:pPr>
        <w:pStyle w:val="33"/>
        <w:tabs>
          <w:tab w:val="left" w:pos="360"/>
        </w:tabs>
        <w:spacing w:line="360" w:lineRule="auto"/>
        <w:ind w:firstLine="560"/>
        <w:rPr>
          <w:rFonts w:ascii="Times New Roman" w:eastAsia="仿宋"/>
          <w:sz w:val="28"/>
          <w:szCs w:val="28"/>
        </w:rPr>
      </w:pPr>
    </w:p>
    <w:p>
      <w:pPr>
        <w:pStyle w:val="2"/>
        <w:pageBreakBefore/>
        <w:numPr>
          <w:ilvl w:val="0"/>
          <w:numId w:val="1"/>
        </w:numPr>
        <w:spacing w:beforeLines="100" w:afterLines="100" w:line="240" w:lineRule="auto"/>
        <w:ind w:firstLine="723" w:firstLineChars="200"/>
        <w:jc w:val="left"/>
        <w:rPr>
          <w:rFonts w:eastAsia="黑体"/>
          <w:sz w:val="36"/>
          <w:szCs w:val="36"/>
        </w:rPr>
      </w:pPr>
      <w:bookmarkStart w:id="44" w:name="_Toc501034269"/>
      <w:r>
        <w:rPr>
          <w:rFonts w:eastAsia="黑体"/>
          <w:sz w:val="36"/>
          <w:szCs w:val="36"/>
        </w:rPr>
        <w:t>土地利用区域调控与管制</w:t>
      </w:r>
      <w:bookmarkEnd w:id="44"/>
    </w:p>
    <w:p>
      <w:pPr>
        <w:pStyle w:val="3"/>
        <w:numPr>
          <w:ilvl w:val="0"/>
          <w:numId w:val="15"/>
        </w:numPr>
        <w:tabs>
          <w:tab w:val="left" w:pos="540"/>
        </w:tabs>
        <w:spacing w:before="0" w:after="0" w:line="240" w:lineRule="auto"/>
        <w:ind w:left="0" w:firstLine="602" w:firstLineChars="200"/>
        <w:jc w:val="left"/>
        <w:rPr>
          <w:rFonts w:ascii="Times New Roman" w:hAnsi="Times New Roman" w:eastAsia="宋体"/>
          <w:sz w:val="30"/>
          <w:szCs w:val="30"/>
        </w:rPr>
      </w:pPr>
      <w:bookmarkStart w:id="45" w:name="_Toc501034270"/>
      <w:r>
        <w:rPr>
          <w:rFonts w:ascii="Times New Roman" w:hAnsi="Times New Roman" w:eastAsia="宋体"/>
          <w:sz w:val="30"/>
          <w:szCs w:val="30"/>
        </w:rPr>
        <w:t>土地用途分区</w:t>
      </w:r>
      <w:bookmarkEnd w:id="45"/>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按照因地制宜、发挥优势、突出重点、协调发展的原则，加强区域土地利用调控，促进区域协调发展格局的形成，将南山城镇土地划分为</w:t>
      </w:r>
      <w:r>
        <w:rPr>
          <w:rFonts w:eastAsia="仿宋"/>
          <w:sz w:val="28"/>
          <w:szCs w:val="28"/>
        </w:rPr>
        <w:t>基本农田保护区、一般农地区、城镇建设用地区、</w:t>
      </w:r>
      <w:r>
        <w:rPr>
          <w:rFonts w:hint="eastAsia" w:eastAsia="仿宋"/>
          <w:sz w:val="28"/>
          <w:szCs w:val="28"/>
        </w:rPr>
        <w:t>村</w:t>
      </w:r>
      <w:r>
        <w:rPr>
          <w:rFonts w:eastAsia="仿宋"/>
          <w:sz w:val="28"/>
          <w:szCs w:val="28"/>
        </w:rPr>
        <w:t>镇建设用地区、独立工矿区、</w:t>
      </w:r>
      <w:r>
        <w:rPr>
          <w:rFonts w:hint="eastAsia" w:eastAsia="仿宋"/>
          <w:sz w:val="28"/>
          <w:szCs w:val="28"/>
        </w:rPr>
        <w:t>生态环境安全控制区、</w:t>
      </w:r>
      <w:r>
        <w:rPr>
          <w:rFonts w:eastAsia="仿宋"/>
          <w:sz w:val="28"/>
          <w:szCs w:val="28"/>
        </w:rPr>
        <w:t>林业用地区等</w:t>
      </w:r>
      <w:r>
        <w:rPr>
          <w:rFonts w:hint="eastAsia" w:eastAsia="仿宋"/>
          <w:sz w:val="28"/>
          <w:szCs w:val="28"/>
        </w:rPr>
        <w:t>七</w:t>
      </w:r>
      <w:r>
        <w:rPr>
          <w:rFonts w:eastAsia="仿宋"/>
          <w:sz w:val="28"/>
          <w:szCs w:val="28"/>
        </w:rPr>
        <w:t>个土地用途分区</w:t>
      </w:r>
      <w:r>
        <w:rPr>
          <w:rFonts w:ascii="Times New Roman" w:eastAsia="仿宋"/>
          <w:sz w:val="28"/>
          <w:szCs w:val="28"/>
        </w:rPr>
        <w:t>。</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基本农田保护区。</w:t>
      </w:r>
      <w:r>
        <w:rPr>
          <w:rFonts w:ascii="Times New Roman" w:eastAsia="仿宋"/>
          <w:sz w:val="28"/>
          <w:szCs w:val="28"/>
        </w:rPr>
        <w:t>基本农田保护区面积</w:t>
      </w:r>
      <w:r>
        <w:rPr>
          <w:rFonts w:hint="eastAsia" w:ascii="Times New Roman" w:eastAsia="仿宋"/>
          <w:sz w:val="28"/>
          <w:szCs w:val="28"/>
        </w:rPr>
        <w:t>688</w:t>
      </w:r>
      <w:r>
        <w:rPr>
          <w:rFonts w:hint="eastAsia" w:ascii="Times New Roman" w:eastAsia="仿宋"/>
          <w:sz w:val="28"/>
          <w:szCs w:val="28"/>
          <w:lang w:val="en-US" w:eastAsia="zh-CN"/>
        </w:rPr>
        <w:t>2.4</w:t>
      </w:r>
      <w:r>
        <w:rPr>
          <w:rFonts w:ascii="Times New Roman" w:eastAsia="仿宋"/>
          <w:sz w:val="28"/>
          <w:szCs w:val="28"/>
        </w:rPr>
        <w:t>公顷，其中基本农田6625.4公顷，占基本农田保护区的</w:t>
      </w:r>
      <w:r>
        <w:rPr>
          <w:rFonts w:hint="eastAsia" w:ascii="Times New Roman" w:eastAsia="仿宋"/>
          <w:sz w:val="28"/>
          <w:szCs w:val="28"/>
        </w:rPr>
        <w:t>96.27</w:t>
      </w:r>
      <w:r>
        <w:rPr>
          <w:rFonts w:ascii="Times New Roman" w:eastAsia="仿宋"/>
          <w:sz w:val="28"/>
          <w:szCs w:val="28"/>
        </w:rPr>
        <w:t>%，</w:t>
      </w:r>
      <w:r>
        <w:rPr>
          <w:rFonts w:hint="eastAsia" w:ascii="Times New Roman" w:eastAsia="仿宋"/>
          <w:sz w:val="28"/>
          <w:szCs w:val="28"/>
        </w:rPr>
        <w:t>在各个行政村均有分布</w:t>
      </w:r>
      <w:r>
        <w:rPr>
          <w:rFonts w:ascii="Times New Roman" w:eastAsia="仿宋"/>
          <w:sz w:val="28"/>
          <w:szCs w:val="28"/>
        </w:rPr>
        <w:t>。区内土地主要用作基本农田和直接为基本农田服务的农田道路、水利、农田防护林及其他农业设施；区内的一般耕地，应参照基本农田管制政策进行管护；区内现有非农建设用地和其他零星农用地应当整理、复垦或调整为基本农田；同时禁止占用区内基本农田进行非农建设。</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一般农地区。</w:t>
      </w:r>
      <w:r>
        <w:rPr>
          <w:rFonts w:ascii="Times New Roman" w:eastAsia="仿宋"/>
          <w:sz w:val="28"/>
          <w:szCs w:val="28"/>
        </w:rPr>
        <w:t>一般农地区面积</w:t>
      </w:r>
      <w:r>
        <w:rPr>
          <w:rFonts w:hint="eastAsia" w:ascii="Times New Roman" w:eastAsia="仿宋"/>
          <w:sz w:val="28"/>
          <w:szCs w:val="28"/>
        </w:rPr>
        <w:t>413</w:t>
      </w:r>
      <w:r>
        <w:rPr>
          <w:rFonts w:hint="eastAsia" w:ascii="Times New Roman" w:eastAsia="仿宋"/>
          <w:sz w:val="28"/>
          <w:szCs w:val="28"/>
          <w:lang w:val="en-US" w:eastAsia="zh-CN"/>
        </w:rPr>
        <w:t>3.4</w:t>
      </w:r>
      <w:r>
        <w:rPr>
          <w:rFonts w:ascii="Times New Roman" w:eastAsia="仿宋"/>
          <w:sz w:val="28"/>
          <w:szCs w:val="28"/>
        </w:rPr>
        <w:t>公顷，</w:t>
      </w:r>
      <w:r>
        <w:rPr>
          <w:rFonts w:hint="eastAsia" w:ascii="Times New Roman" w:eastAsia="仿宋"/>
          <w:sz w:val="28"/>
          <w:szCs w:val="28"/>
        </w:rPr>
        <w:t>在各个行政村均有分布</w:t>
      </w:r>
      <w:r>
        <w:rPr>
          <w:rFonts w:ascii="Times New Roman" w:eastAsia="仿宋"/>
          <w:sz w:val="28"/>
          <w:szCs w:val="28"/>
        </w:rPr>
        <w:t>。区内土地主要为耕地、园地、畜禽水产养殖地和直接为农业生产服务的农村道路、农田水利、农田防护林及其他农业设施用地，同时禁止占用区内土地进行非农业建设，不得破坏、污染和荒芜区内土地。</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城镇建设用地区。</w:t>
      </w:r>
      <w:r>
        <w:rPr>
          <w:rFonts w:ascii="Times New Roman" w:eastAsia="仿宋"/>
          <w:sz w:val="28"/>
          <w:szCs w:val="28"/>
        </w:rPr>
        <w:t>城镇建设用地区面积</w:t>
      </w:r>
      <w:r>
        <w:rPr>
          <w:rFonts w:hint="eastAsia" w:ascii="Times New Roman" w:eastAsia="仿宋"/>
          <w:sz w:val="28"/>
          <w:szCs w:val="28"/>
          <w:lang w:val="en-US" w:eastAsia="zh-CN"/>
        </w:rPr>
        <w:t>75.2</w:t>
      </w:r>
      <w:r>
        <w:rPr>
          <w:rFonts w:ascii="Times New Roman" w:eastAsia="仿宋"/>
          <w:sz w:val="28"/>
          <w:szCs w:val="28"/>
        </w:rPr>
        <w:t>公顷，</w:t>
      </w:r>
      <w:r>
        <w:rPr>
          <w:rFonts w:eastAsia="仿宋"/>
          <w:sz w:val="28"/>
          <w:szCs w:val="28"/>
        </w:rPr>
        <w:t>主要</w:t>
      </w:r>
      <w:r>
        <w:rPr>
          <w:rFonts w:hint="eastAsia" w:eastAsia="仿宋"/>
          <w:sz w:val="28"/>
          <w:szCs w:val="28"/>
        </w:rPr>
        <w:t>分布</w:t>
      </w:r>
      <w:r>
        <w:rPr>
          <w:rFonts w:eastAsia="仿宋"/>
          <w:sz w:val="28"/>
          <w:szCs w:val="28"/>
        </w:rPr>
        <w:t>在</w:t>
      </w:r>
      <w:r>
        <w:rPr>
          <w:rFonts w:hint="eastAsia" w:eastAsia="仿宋"/>
          <w:sz w:val="28"/>
          <w:szCs w:val="28"/>
          <w:lang w:eastAsia="zh-CN"/>
        </w:rPr>
        <w:t>南山城村</w:t>
      </w:r>
      <w:r>
        <w:rPr>
          <w:rFonts w:ascii="Times New Roman" w:eastAsia="仿宋"/>
          <w:sz w:val="28"/>
          <w:szCs w:val="28"/>
        </w:rPr>
        <w:t>。区内土地主要用于城镇建设，与经批准的</w:t>
      </w:r>
      <w:r>
        <w:rPr>
          <w:rFonts w:hint="eastAsia" w:ascii="Times New Roman" w:eastAsia="仿宋"/>
          <w:sz w:val="28"/>
          <w:szCs w:val="28"/>
          <w:lang w:eastAsia="zh-CN"/>
        </w:rPr>
        <w:t>城镇</w:t>
      </w:r>
      <w:r>
        <w:rPr>
          <w:rFonts w:ascii="Times New Roman" w:eastAsia="仿宋"/>
          <w:sz w:val="28"/>
          <w:szCs w:val="28"/>
        </w:rPr>
        <w:t>规划相衔接，同时应优先利用现有低效建设用地、闲置地和废弃地。</w:t>
      </w:r>
    </w:p>
    <w:p>
      <w:pPr>
        <w:pStyle w:val="33"/>
        <w:numPr>
          <w:ilvl w:val="0"/>
          <w:numId w:val="16"/>
        </w:numPr>
        <w:tabs>
          <w:tab w:val="left" w:pos="360"/>
        </w:tabs>
        <w:spacing w:line="360" w:lineRule="auto"/>
        <w:ind w:firstLine="562"/>
        <w:rPr>
          <w:rFonts w:ascii="Times New Roman" w:eastAsia="仿宋"/>
          <w:sz w:val="28"/>
          <w:szCs w:val="28"/>
        </w:rPr>
      </w:pPr>
      <w:r>
        <w:rPr>
          <w:rFonts w:hint="eastAsia" w:ascii="Times New Roman" w:eastAsia="仿宋"/>
          <w:b/>
          <w:sz w:val="28"/>
          <w:szCs w:val="28"/>
        </w:rPr>
        <w:t>村</w:t>
      </w:r>
      <w:r>
        <w:rPr>
          <w:rFonts w:ascii="Times New Roman" w:eastAsia="仿宋"/>
          <w:b/>
          <w:sz w:val="28"/>
          <w:szCs w:val="28"/>
        </w:rPr>
        <w:t>镇建设用地区。</w:t>
      </w:r>
      <w:r>
        <w:rPr>
          <w:rFonts w:hint="eastAsia" w:ascii="Times New Roman" w:eastAsia="仿宋"/>
          <w:sz w:val="28"/>
          <w:szCs w:val="28"/>
        </w:rPr>
        <w:t>村</w:t>
      </w:r>
      <w:r>
        <w:rPr>
          <w:rFonts w:ascii="Times New Roman" w:eastAsia="仿宋"/>
          <w:sz w:val="28"/>
          <w:szCs w:val="28"/>
        </w:rPr>
        <w:t>镇建设用地区面积</w:t>
      </w:r>
      <w:r>
        <w:rPr>
          <w:rFonts w:hint="eastAsia" w:ascii="Times New Roman" w:eastAsia="仿宋"/>
          <w:sz w:val="28"/>
          <w:szCs w:val="28"/>
          <w:lang w:val="en-US" w:eastAsia="zh-CN"/>
        </w:rPr>
        <w:t>464.9</w:t>
      </w:r>
      <w:r>
        <w:rPr>
          <w:rFonts w:ascii="Times New Roman" w:eastAsia="仿宋"/>
          <w:sz w:val="28"/>
          <w:szCs w:val="28"/>
        </w:rPr>
        <w:t>公顷，</w:t>
      </w:r>
      <w:r>
        <w:rPr>
          <w:rFonts w:hint="eastAsia" w:ascii="Times New Roman" w:eastAsia="仿宋"/>
          <w:sz w:val="28"/>
          <w:szCs w:val="28"/>
        </w:rPr>
        <w:t>在各个行政村均有分布</w:t>
      </w:r>
      <w:r>
        <w:rPr>
          <w:rFonts w:ascii="Times New Roman" w:eastAsia="仿宋"/>
          <w:sz w:val="28"/>
          <w:szCs w:val="28"/>
        </w:rPr>
        <w:t>。区内土地主要用于农村居民点建设，</w:t>
      </w:r>
      <w:r>
        <w:rPr>
          <w:rFonts w:hint="eastAsia" w:ascii="Times New Roman" w:eastAsia="仿宋"/>
          <w:sz w:val="28"/>
          <w:szCs w:val="28"/>
        </w:rPr>
        <w:t>须符合经批准的村庄和集镇建设规划，</w:t>
      </w:r>
      <w:r>
        <w:rPr>
          <w:rFonts w:ascii="Times New Roman" w:eastAsia="仿宋"/>
          <w:sz w:val="28"/>
          <w:szCs w:val="28"/>
        </w:rPr>
        <w:t>同时应优先利用现有低效建设用地、闲置地和废弃地。</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独立工矿区。</w:t>
      </w:r>
      <w:r>
        <w:rPr>
          <w:rFonts w:ascii="Times New Roman" w:eastAsia="仿宋"/>
          <w:sz w:val="28"/>
          <w:szCs w:val="28"/>
        </w:rPr>
        <w:t>独立工矿区面积</w:t>
      </w:r>
      <w:r>
        <w:rPr>
          <w:rFonts w:hint="eastAsia" w:ascii="Times New Roman" w:eastAsia="仿宋"/>
          <w:sz w:val="28"/>
          <w:szCs w:val="28"/>
        </w:rPr>
        <w:t>1</w:t>
      </w:r>
      <w:r>
        <w:rPr>
          <w:rFonts w:hint="eastAsia" w:ascii="Times New Roman" w:eastAsia="仿宋"/>
          <w:sz w:val="28"/>
          <w:szCs w:val="28"/>
          <w:lang w:val="en-US" w:eastAsia="zh-CN"/>
        </w:rPr>
        <w:t>2.9</w:t>
      </w:r>
      <w:r>
        <w:rPr>
          <w:rFonts w:ascii="Times New Roman" w:eastAsia="仿宋"/>
          <w:sz w:val="28"/>
          <w:szCs w:val="28"/>
        </w:rPr>
        <w:t>公顷，</w:t>
      </w:r>
      <w:r>
        <w:rPr>
          <w:rFonts w:eastAsia="仿宋"/>
          <w:sz w:val="28"/>
          <w:szCs w:val="28"/>
        </w:rPr>
        <w:t>主要</w:t>
      </w:r>
      <w:r>
        <w:rPr>
          <w:rFonts w:hint="eastAsia" w:eastAsia="仿宋"/>
          <w:sz w:val="28"/>
          <w:szCs w:val="28"/>
        </w:rPr>
        <w:t>分布</w:t>
      </w:r>
      <w:r>
        <w:rPr>
          <w:rFonts w:eastAsia="仿宋"/>
          <w:sz w:val="28"/>
          <w:szCs w:val="28"/>
        </w:rPr>
        <w:t>在</w:t>
      </w:r>
      <w:r>
        <w:rPr>
          <w:rFonts w:hint="eastAsia" w:eastAsia="仿宋"/>
          <w:sz w:val="28"/>
          <w:szCs w:val="28"/>
        </w:rPr>
        <w:t>东五里堡村和杨树崴子村</w:t>
      </w:r>
      <w:r>
        <w:rPr>
          <w:rFonts w:ascii="Times New Roman" w:eastAsia="仿宋"/>
          <w:sz w:val="28"/>
          <w:szCs w:val="28"/>
        </w:rPr>
        <w:t>。区内土地使用应符合经批准的工矿建设规划，应优先利用现有低效建设用地、闲置地和废弃地；区内因生产建设挖损、塌陷、压占的土地应及时复垦。</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生态环境安全控制区。</w:t>
      </w:r>
      <w:r>
        <w:rPr>
          <w:rFonts w:ascii="Times New Roman" w:eastAsia="仿宋"/>
          <w:sz w:val="28"/>
          <w:szCs w:val="28"/>
        </w:rPr>
        <w:t>生态环境安全控制区面积</w:t>
      </w:r>
      <w:r>
        <w:rPr>
          <w:rFonts w:hint="eastAsia" w:ascii="Times New Roman" w:eastAsia="仿宋"/>
          <w:sz w:val="28"/>
          <w:szCs w:val="28"/>
        </w:rPr>
        <w:t>522.4</w:t>
      </w:r>
      <w:r>
        <w:rPr>
          <w:rFonts w:ascii="Times New Roman" w:eastAsia="仿宋"/>
          <w:sz w:val="28"/>
          <w:szCs w:val="28"/>
        </w:rPr>
        <w:t>公顷，</w:t>
      </w:r>
      <w:r>
        <w:rPr>
          <w:rFonts w:hint="eastAsia" w:ascii="Times New Roman" w:eastAsia="仿宋"/>
          <w:sz w:val="28"/>
          <w:szCs w:val="28"/>
        </w:rPr>
        <w:t>在各个行政村均有分布</w:t>
      </w:r>
      <w:r>
        <w:rPr>
          <w:rFonts w:ascii="Times New Roman" w:eastAsia="仿宋"/>
          <w:sz w:val="28"/>
          <w:szCs w:val="28"/>
        </w:rPr>
        <w:t>。区内土地以生态环境保护为主导用途，土地使用应符合经批准的相关规划；区内影响生态环境安全的土地，应在规划期间调整为适宜的用途；区内土地严禁进行与生态环境保护无关的开发建设活动，原有的各种生产、开发活动应逐步退出</w:t>
      </w:r>
      <w:r>
        <w:rPr>
          <w:rFonts w:hint="eastAsia" w:eastAsia="仿宋"/>
          <w:sz w:val="28"/>
          <w:szCs w:val="28"/>
        </w:rPr>
        <w:t>。</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林业用地区。</w:t>
      </w:r>
      <w:r>
        <w:rPr>
          <w:rFonts w:ascii="Times New Roman" w:eastAsia="仿宋"/>
          <w:sz w:val="28"/>
          <w:szCs w:val="28"/>
        </w:rPr>
        <w:t>林业用地区面积</w:t>
      </w:r>
      <w:r>
        <w:rPr>
          <w:rFonts w:hint="eastAsia" w:ascii="Times New Roman" w:eastAsia="仿宋"/>
          <w:sz w:val="28"/>
          <w:szCs w:val="28"/>
        </w:rPr>
        <w:t>30597.1</w:t>
      </w:r>
      <w:r>
        <w:rPr>
          <w:rFonts w:ascii="Times New Roman" w:eastAsia="仿宋"/>
          <w:sz w:val="28"/>
          <w:szCs w:val="28"/>
        </w:rPr>
        <w:t>公顷，</w:t>
      </w:r>
      <w:r>
        <w:rPr>
          <w:rFonts w:hint="eastAsia" w:ascii="Times New Roman" w:eastAsia="仿宋"/>
          <w:sz w:val="28"/>
          <w:szCs w:val="28"/>
        </w:rPr>
        <w:t>在各个行政村均有分布</w:t>
      </w:r>
      <w:r>
        <w:rPr>
          <w:rFonts w:ascii="Times New Roman" w:eastAsia="仿宋"/>
          <w:sz w:val="28"/>
          <w:szCs w:val="28"/>
        </w:rPr>
        <w:t>。区内土地主要用于林业生产，以及直接为林业生产和生态建设服务的营林设施，同时现有非农业建设用地，应当按其适宜性调整为林地或其他类型的营林设施用地；未经批准，禁止占用区内土地进行非农业建设，禁止占用区内土地进行毁林开垦、采石、挖沙、取土等活动。</w:t>
      </w:r>
    </w:p>
    <w:p>
      <w:pPr>
        <w:pStyle w:val="3"/>
        <w:numPr>
          <w:ilvl w:val="0"/>
          <w:numId w:val="15"/>
        </w:numPr>
        <w:tabs>
          <w:tab w:val="left" w:pos="540"/>
        </w:tabs>
        <w:spacing w:before="0" w:after="0" w:line="240" w:lineRule="auto"/>
        <w:ind w:left="0" w:firstLine="602" w:firstLineChars="200"/>
        <w:jc w:val="left"/>
        <w:rPr>
          <w:rFonts w:ascii="Times New Roman" w:hAnsi="Times New Roman" w:eastAsia="宋体"/>
          <w:sz w:val="30"/>
          <w:szCs w:val="30"/>
        </w:rPr>
      </w:pPr>
      <w:bookmarkStart w:id="46" w:name="_Toc501034271"/>
      <w:r>
        <w:rPr>
          <w:rFonts w:ascii="Times New Roman" w:hAnsi="Times New Roman" w:eastAsia="宋体"/>
          <w:sz w:val="30"/>
          <w:szCs w:val="30"/>
        </w:rPr>
        <w:t>建设用地空间管制</w:t>
      </w:r>
      <w:bookmarkEnd w:id="46"/>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允许建设区。</w:t>
      </w:r>
      <w:r>
        <w:rPr>
          <w:rFonts w:ascii="Times New Roman" w:eastAsia="仿宋"/>
          <w:sz w:val="28"/>
          <w:szCs w:val="28"/>
        </w:rPr>
        <w:t>允许建设区包括规划期内将保留的现状建设用地和规划新增建设用地，划分为城镇、村镇、村庄、工矿等不同类型，面积</w:t>
      </w:r>
      <w:r>
        <w:rPr>
          <w:rFonts w:hint="eastAsia" w:ascii="Times New Roman" w:eastAsia="仿宋"/>
          <w:sz w:val="28"/>
          <w:szCs w:val="28"/>
        </w:rPr>
        <w:t>553.0</w:t>
      </w:r>
      <w:r>
        <w:rPr>
          <w:rFonts w:ascii="Times New Roman" w:eastAsia="仿宋"/>
          <w:sz w:val="28"/>
          <w:szCs w:val="28"/>
        </w:rPr>
        <w:t>公顷。区内土地主导用途为城、镇、村或工矿建设发展空间；区内新增城乡建设用地受规划指标和年度计划指标约束，应统筹增量与存量用地，促进土地节约集约利用；规划实施过程中，在允许建设区面积不改变的前提下，其空间布局形态可依程序进行调整，但不得突破建设用地扩展边界；允许建设区边界（规模边界）的调整，须报规划审批机关同级国土资源管理部门审查批准。</w:t>
      </w:r>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有条件建设区。</w:t>
      </w:r>
      <w:r>
        <w:rPr>
          <w:rFonts w:ascii="Times New Roman" w:eastAsia="仿宋"/>
          <w:sz w:val="28"/>
          <w:szCs w:val="28"/>
        </w:rPr>
        <w:t>有条件建设区在建设用地规模边界外，按照保护资源和环境、有利于节约集约用地的要求划定，面积</w:t>
      </w:r>
      <w:r>
        <w:rPr>
          <w:rFonts w:hint="eastAsia" w:ascii="Times New Roman" w:eastAsia="仿宋"/>
          <w:sz w:val="28"/>
          <w:szCs w:val="28"/>
        </w:rPr>
        <w:t>104.0</w:t>
      </w:r>
      <w:r>
        <w:rPr>
          <w:rFonts w:ascii="Times New Roman" w:eastAsia="仿宋"/>
          <w:sz w:val="28"/>
          <w:szCs w:val="28"/>
        </w:rPr>
        <w:t>公顷。区内土地符合规定的，可依程序办理建设用地审批手续，同时相应核减允许建设区用地规模；规划期内建设用地扩展边界原则上不得调整。如需调整按规划修改处理，严格论证，报规划审批机关批准。</w:t>
      </w:r>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限制建设区。</w:t>
      </w:r>
      <w:r>
        <w:rPr>
          <w:rFonts w:ascii="Times New Roman" w:eastAsia="仿宋"/>
          <w:sz w:val="28"/>
          <w:szCs w:val="28"/>
        </w:rPr>
        <w:t>除允许建设区、有条件建设区和禁止建设区外的土地划入限制建设区，面积</w:t>
      </w:r>
      <w:r>
        <w:rPr>
          <w:rFonts w:hint="eastAsia" w:ascii="Times New Roman" w:eastAsia="仿宋"/>
          <w:sz w:val="28"/>
          <w:szCs w:val="28"/>
        </w:rPr>
        <w:t>41508.9</w:t>
      </w:r>
      <w:r>
        <w:rPr>
          <w:rFonts w:ascii="Times New Roman" w:eastAsia="仿宋"/>
          <w:sz w:val="28"/>
          <w:szCs w:val="28"/>
        </w:rPr>
        <w:t>公顷。区内土地主导用途为农业生产空间，是发展农业生产，开展土地整治和基本农田建设的主要区域；区内禁止城、镇、村建设，控制线型基础设施和独立建设项目用地。</w:t>
      </w:r>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禁止建设区。</w:t>
      </w:r>
      <w:r>
        <w:rPr>
          <w:rFonts w:ascii="Times New Roman" w:eastAsia="仿宋"/>
          <w:sz w:val="28"/>
          <w:szCs w:val="28"/>
        </w:rPr>
        <w:t>禁止建设区包括生态安全控制区，自然与文化遗产保护区，面积</w:t>
      </w:r>
      <w:r>
        <w:rPr>
          <w:rFonts w:hint="eastAsia" w:ascii="Times New Roman" w:eastAsia="仿宋"/>
          <w:sz w:val="28"/>
          <w:szCs w:val="28"/>
        </w:rPr>
        <w:t>522.4</w:t>
      </w:r>
      <w:r>
        <w:rPr>
          <w:rFonts w:ascii="Times New Roman" w:eastAsia="仿宋"/>
          <w:sz w:val="28"/>
          <w:szCs w:val="28"/>
        </w:rPr>
        <w:t>公顷。区内土地的主导用途为生态与环境保护空间，严格禁止与主导功能不相符的各项建设；除法律法规另有规定外，规划期内禁止建设区用地边界不得调整。</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47" w:name="_Toc501034272"/>
      <w:r>
        <w:rPr>
          <w:rFonts w:eastAsia="黑体"/>
          <w:sz w:val="36"/>
          <w:szCs w:val="36"/>
        </w:rPr>
        <w:t>土地利用重点工程</w:t>
      </w:r>
      <w:bookmarkEnd w:id="47"/>
    </w:p>
    <w:p>
      <w:pPr>
        <w:pStyle w:val="3"/>
        <w:numPr>
          <w:ilvl w:val="0"/>
          <w:numId w:val="18"/>
        </w:numPr>
        <w:tabs>
          <w:tab w:val="left" w:pos="540"/>
        </w:tabs>
        <w:spacing w:before="0" w:after="0" w:line="240" w:lineRule="auto"/>
        <w:ind w:left="0" w:firstLine="602" w:firstLineChars="200"/>
        <w:jc w:val="left"/>
        <w:rPr>
          <w:rFonts w:ascii="Times New Roman" w:hAnsi="Times New Roman" w:eastAsia="宋体"/>
          <w:sz w:val="30"/>
          <w:szCs w:val="30"/>
        </w:rPr>
      </w:pPr>
      <w:bookmarkStart w:id="48" w:name="_Toc501034273"/>
      <w:r>
        <w:rPr>
          <w:rFonts w:ascii="Times New Roman" w:hAnsi="Times New Roman" w:eastAsia="宋体"/>
          <w:sz w:val="30"/>
          <w:szCs w:val="30"/>
        </w:rPr>
        <w:t>基本农田建设工程</w:t>
      </w:r>
      <w:bookmarkEnd w:id="48"/>
    </w:p>
    <w:p>
      <w:pPr>
        <w:pStyle w:val="33"/>
        <w:tabs>
          <w:tab w:val="left" w:pos="360"/>
        </w:tabs>
        <w:spacing w:line="360" w:lineRule="auto"/>
        <w:ind w:firstLine="560"/>
        <w:rPr>
          <w:rFonts w:ascii="Times New Roman" w:eastAsia="仿宋"/>
          <w:sz w:val="28"/>
          <w:szCs w:val="28"/>
        </w:rPr>
      </w:pPr>
      <w:r>
        <w:rPr>
          <w:rFonts w:ascii="Times New Roman" w:eastAsia="仿宋"/>
          <w:sz w:val="28"/>
        </w:rPr>
        <w:t>落实基本农田保护制度，划定基本农田保护区，通过完善农田水利、田间道路、农田林网等基础设施，提高农田抗灾能力，增强农业综合生产能力，建设集中连片、农业基础设施配套的高标准基本农田，全面提高基本农田质量。至2020年，农田集中连片、农业基础设施配套、监管体系完善的高标准基本农田不低于6625.4公顷。</w:t>
      </w:r>
    </w:p>
    <w:p>
      <w:pPr>
        <w:pStyle w:val="3"/>
        <w:numPr>
          <w:ilvl w:val="0"/>
          <w:numId w:val="18"/>
        </w:numPr>
        <w:tabs>
          <w:tab w:val="left" w:pos="540"/>
        </w:tabs>
        <w:spacing w:before="0" w:after="0" w:line="240" w:lineRule="auto"/>
        <w:ind w:left="0" w:firstLine="602" w:firstLineChars="200"/>
        <w:jc w:val="left"/>
        <w:rPr>
          <w:rFonts w:ascii="Times New Roman" w:hAnsi="Times New Roman" w:eastAsia="宋体"/>
          <w:sz w:val="30"/>
          <w:szCs w:val="30"/>
        </w:rPr>
      </w:pPr>
      <w:bookmarkStart w:id="49" w:name="_Toc501034274"/>
      <w:r>
        <w:rPr>
          <w:rFonts w:ascii="Times New Roman" w:hAnsi="Times New Roman" w:eastAsia="宋体"/>
          <w:sz w:val="30"/>
          <w:szCs w:val="30"/>
        </w:rPr>
        <w:t>土地整治工程</w:t>
      </w:r>
      <w:bookmarkEnd w:id="49"/>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农用地</w:t>
      </w:r>
      <w:r>
        <w:rPr>
          <w:rFonts w:ascii="Times New Roman" w:eastAsia="仿宋"/>
          <w:b/>
          <w:sz w:val="28"/>
          <w:szCs w:val="28"/>
        </w:rPr>
        <w:t>整理。</w:t>
      </w:r>
      <w:r>
        <w:rPr>
          <w:rFonts w:ascii="Times New Roman" w:eastAsia="仿宋"/>
          <w:sz w:val="28"/>
          <w:szCs w:val="28"/>
        </w:rPr>
        <w:t>通过田、水、路、林、村综合整治，整理其他农用地和废弃闲散土地，增加有效耕地面积，提高耕地等农用地质量。</w:t>
      </w:r>
      <w:r>
        <w:rPr>
          <w:rFonts w:hint="eastAsia" w:ascii="Times New Roman" w:eastAsia="仿宋"/>
          <w:b/>
          <w:sz w:val="28"/>
          <w:szCs w:val="28"/>
        </w:rPr>
        <w:t>农村建设用地整理。</w:t>
      </w:r>
      <w:r>
        <w:rPr>
          <w:rFonts w:hint="eastAsia" w:ascii="Times New Roman" w:eastAsia="仿宋"/>
          <w:sz w:val="28"/>
          <w:szCs w:val="28"/>
        </w:rPr>
        <w:t>按照依法依规、规划先行、尊重民意、因地制宜、循序渐进的原则，结合新农村建设和城乡建设用地增减挂钩，稳步推进农村居民点整理复垦；通过村屯拆迁归并，优化土地利用结构，促进节约集约用地。</w:t>
      </w:r>
      <w:r>
        <w:rPr>
          <w:rFonts w:ascii="Times New Roman" w:eastAsia="仿宋"/>
          <w:sz w:val="28"/>
          <w:szCs w:val="28"/>
        </w:rPr>
        <w:t>至2020年，</w:t>
      </w:r>
      <w:r>
        <w:rPr>
          <w:rFonts w:hint="eastAsia" w:ascii="Times New Roman" w:eastAsia="仿宋"/>
          <w:sz w:val="28"/>
          <w:szCs w:val="28"/>
          <w:lang w:eastAsia="zh-CN"/>
        </w:rPr>
        <w:t>通过农村建设用地整理</w:t>
      </w:r>
      <w:r>
        <w:rPr>
          <w:rFonts w:ascii="Times New Roman" w:eastAsia="仿宋"/>
          <w:sz w:val="28"/>
          <w:szCs w:val="28"/>
        </w:rPr>
        <w:t>补充耕地规模力争达到</w:t>
      </w:r>
      <w:r>
        <w:rPr>
          <w:rFonts w:hint="eastAsia" w:ascii="Times New Roman" w:eastAsia="仿宋"/>
          <w:sz w:val="28"/>
          <w:szCs w:val="28"/>
        </w:rPr>
        <w:t>77.2</w:t>
      </w:r>
      <w:r>
        <w:rPr>
          <w:rFonts w:ascii="Times New Roman" w:eastAsia="仿宋"/>
          <w:sz w:val="28"/>
          <w:szCs w:val="28"/>
        </w:rPr>
        <w:t>公顷。</w:t>
      </w:r>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城镇低效用地再开发。</w:t>
      </w:r>
      <w:r>
        <w:rPr>
          <w:rFonts w:hint="eastAsia" w:ascii="Times New Roman" w:eastAsia="仿宋"/>
          <w:sz w:val="28"/>
          <w:szCs w:val="28"/>
        </w:rPr>
        <w:t>积极开展旧城区低效用地更新改造，重点治理基础设施落后、“城中村”和与城镇功能定位不符的旧城区，突出市域中心城区的更新治理，大力挖掘旧城镇用地潜力。</w:t>
      </w:r>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工矿废弃地</w:t>
      </w:r>
      <w:r>
        <w:rPr>
          <w:rFonts w:ascii="Times New Roman" w:eastAsia="仿宋"/>
          <w:b/>
          <w:sz w:val="28"/>
          <w:szCs w:val="28"/>
        </w:rPr>
        <w:t>复垦</w:t>
      </w:r>
      <w:r>
        <w:rPr>
          <w:rFonts w:hint="eastAsia" w:ascii="Times New Roman" w:eastAsia="仿宋"/>
          <w:b/>
          <w:sz w:val="28"/>
          <w:szCs w:val="28"/>
        </w:rPr>
        <w:t>利用</w:t>
      </w:r>
      <w:r>
        <w:rPr>
          <w:rFonts w:ascii="Times New Roman" w:eastAsia="仿宋"/>
          <w:b/>
          <w:sz w:val="28"/>
          <w:szCs w:val="28"/>
        </w:rPr>
        <w:t>。</w:t>
      </w:r>
      <w:r>
        <w:rPr>
          <w:rFonts w:ascii="Times New Roman" w:eastAsia="仿宋"/>
          <w:sz w:val="28"/>
          <w:szCs w:val="28"/>
        </w:rPr>
        <w:t>通过采取工程、生物、农艺等措施，对因挖损、塌陷、压占、污染等原因造成破坏的土地进行复垦，改善生态环境。</w:t>
      </w:r>
      <w:r>
        <w:rPr>
          <w:rFonts w:eastAsia="仿宋"/>
          <w:sz w:val="28"/>
          <w:szCs w:val="28"/>
        </w:rPr>
        <w:t>工矿废弃地主要分布在矿区周围的采煤沉陷区及排土场。分期整治历史遗留的工矿废弃地，及时整治新增工矿废弃地，逐步提高土地复垦率和复垦土地的质量</w:t>
      </w:r>
      <w:r>
        <w:rPr>
          <w:rFonts w:hint="eastAsia" w:eastAsia="仿宋"/>
          <w:sz w:val="28"/>
          <w:szCs w:val="28"/>
        </w:rPr>
        <w:t>。</w:t>
      </w:r>
      <w:r>
        <w:rPr>
          <w:rFonts w:ascii="Times New Roman" w:eastAsia="仿宋"/>
          <w:sz w:val="28"/>
          <w:szCs w:val="28"/>
        </w:rPr>
        <w:t>至2020年，</w:t>
      </w:r>
      <w:r>
        <w:rPr>
          <w:rFonts w:hint="eastAsia" w:ascii="Times New Roman" w:eastAsia="仿宋"/>
          <w:sz w:val="28"/>
          <w:szCs w:val="28"/>
        </w:rPr>
        <w:t>工矿废弃地</w:t>
      </w:r>
      <w:r>
        <w:rPr>
          <w:rFonts w:ascii="Times New Roman" w:eastAsia="仿宋"/>
          <w:sz w:val="28"/>
          <w:szCs w:val="28"/>
        </w:rPr>
        <w:t>复垦补充耕地规模力争达到</w:t>
      </w:r>
      <w:r>
        <w:rPr>
          <w:rFonts w:hint="eastAsia" w:ascii="Times New Roman" w:eastAsia="仿宋"/>
          <w:sz w:val="28"/>
          <w:szCs w:val="28"/>
        </w:rPr>
        <w:t>6.5</w:t>
      </w:r>
      <w:r>
        <w:rPr>
          <w:rFonts w:ascii="Times New Roman" w:eastAsia="仿宋"/>
          <w:sz w:val="28"/>
          <w:szCs w:val="28"/>
        </w:rPr>
        <w:t>公顷。</w:t>
      </w:r>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宜耕后备土地资源</w:t>
      </w:r>
      <w:r>
        <w:rPr>
          <w:rFonts w:ascii="Times New Roman" w:eastAsia="仿宋"/>
          <w:b/>
          <w:sz w:val="28"/>
          <w:szCs w:val="28"/>
        </w:rPr>
        <w:t>开发。</w:t>
      </w:r>
      <w:r>
        <w:rPr>
          <w:rFonts w:hint="eastAsia" w:ascii="Times New Roman" w:eastAsia="仿宋"/>
          <w:sz w:val="28"/>
          <w:szCs w:val="28"/>
        </w:rPr>
        <w:t>在保护和改善生态环境的前提下，依据土地适宜性条件，</w:t>
      </w:r>
      <w:r>
        <w:rPr>
          <w:rFonts w:ascii="Times New Roman" w:eastAsia="仿宋"/>
          <w:sz w:val="28"/>
          <w:szCs w:val="28"/>
        </w:rPr>
        <w:t>通过农田防护林网和配套设施建设、改进灌溉方式、推广采用先进节水技术等措施，对分布集中、具备开发条件的宜耕土地后备资源进行适度开发，增加有效耕地面积，提高土地利用效率</w:t>
      </w:r>
      <w:r>
        <w:rPr>
          <w:rFonts w:hint="eastAsia" w:ascii="Times New Roman" w:eastAsia="仿宋"/>
          <w:sz w:val="28"/>
          <w:szCs w:val="28"/>
        </w:rPr>
        <w:t>。</w:t>
      </w:r>
      <w:r>
        <w:rPr>
          <w:rFonts w:ascii="Times New Roman" w:eastAsia="仿宋"/>
          <w:sz w:val="28"/>
          <w:szCs w:val="28"/>
        </w:rPr>
        <w:t>至2020年，</w:t>
      </w:r>
      <w:r>
        <w:rPr>
          <w:rFonts w:hint="eastAsia" w:ascii="Times New Roman" w:eastAsia="仿宋"/>
          <w:sz w:val="28"/>
          <w:szCs w:val="28"/>
        </w:rPr>
        <w:t>南山城镇通过宜耕后备资源</w:t>
      </w:r>
      <w:r>
        <w:rPr>
          <w:rFonts w:ascii="Times New Roman" w:eastAsia="仿宋"/>
          <w:sz w:val="28"/>
          <w:szCs w:val="28"/>
        </w:rPr>
        <w:t>开发</w:t>
      </w:r>
      <w:r>
        <w:rPr>
          <w:rFonts w:hint="eastAsia" w:ascii="Times New Roman" w:eastAsia="仿宋"/>
          <w:sz w:val="28"/>
          <w:szCs w:val="28"/>
        </w:rPr>
        <w:t>补充耕地</w:t>
      </w:r>
      <w:r>
        <w:rPr>
          <w:rFonts w:ascii="Times New Roman" w:eastAsia="仿宋"/>
          <w:sz w:val="28"/>
          <w:szCs w:val="28"/>
        </w:rPr>
        <w:t>规模力争达到</w:t>
      </w:r>
      <w:r>
        <w:rPr>
          <w:rFonts w:hint="eastAsia" w:ascii="Times New Roman" w:eastAsia="仿宋"/>
          <w:sz w:val="28"/>
          <w:szCs w:val="28"/>
        </w:rPr>
        <w:t>61.2</w:t>
      </w:r>
      <w:r>
        <w:rPr>
          <w:rFonts w:ascii="Times New Roman" w:eastAsia="仿宋"/>
          <w:sz w:val="28"/>
          <w:szCs w:val="28"/>
        </w:rPr>
        <w:t>公顷。</w:t>
      </w:r>
    </w:p>
    <w:p>
      <w:pPr>
        <w:pStyle w:val="3"/>
        <w:numPr>
          <w:ilvl w:val="0"/>
          <w:numId w:val="18"/>
        </w:numPr>
        <w:tabs>
          <w:tab w:val="left" w:pos="540"/>
        </w:tabs>
        <w:spacing w:before="0" w:after="0" w:line="240" w:lineRule="auto"/>
        <w:ind w:left="0" w:firstLine="602" w:firstLineChars="200"/>
        <w:jc w:val="left"/>
        <w:rPr>
          <w:rFonts w:ascii="Times New Roman" w:hAnsi="Times New Roman" w:eastAsia="宋体"/>
          <w:sz w:val="30"/>
          <w:szCs w:val="30"/>
        </w:rPr>
      </w:pPr>
      <w:bookmarkStart w:id="50" w:name="_Toc501034275"/>
      <w:r>
        <w:rPr>
          <w:rFonts w:ascii="Times New Roman" w:hAnsi="Times New Roman" w:eastAsia="宋体"/>
          <w:sz w:val="30"/>
          <w:szCs w:val="30"/>
        </w:rPr>
        <w:t>基础设施工程</w:t>
      </w:r>
      <w:bookmarkEnd w:id="50"/>
    </w:p>
    <w:p>
      <w:pPr>
        <w:pStyle w:val="33"/>
        <w:numPr>
          <w:ilvl w:val="0"/>
          <w:numId w:val="20"/>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统筹保障</w:t>
      </w:r>
      <w:r>
        <w:rPr>
          <w:rFonts w:ascii="Times New Roman" w:eastAsia="仿宋"/>
          <w:b/>
          <w:sz w:val="28"/>
          <w:szCs w:val="28"/>
        </w:rPr>
        <w:t>交通运输</w:t>
      </w:r>
      <w:r>
        <w:rPr>
          <w:rFonts w:hint="eastAsia" w:ascii="Times New Roman" w:eastAsia="仿宋"/>
          <w:b/>
          <w:sz w:val="28"/>
          <w:szCs w:val="28"/>
        </w:rPr>
        <w:t>用地</w:t>
      </w:r>
      <w:r>
        <w:rPr>
          <w:rFonts w:ascii="Times New Roman" w:eastAsia="仿宋"/>
          <w:b/>
          <w:sz w:val="28"/>
          <w:szCs w:val="28"/>
        </w:rPr>
        <w:t>。</w:t>
      </w:r>
      <w:r>
        <w:rPr>
          <w:rFonts w:hint="eastAsia" w:ascii="Times New Roman" w:eastAsia="仿宋"/>
          <w:sz w:val="28"/>
          <w:szCs w:val="28"/>
        </w:rPr>
        <w:t>按照统筹规划、合理布局、集约高效的要求，优化各类交通用地规模、结构与布局，形成便捷、通畅、高效、安全的综合交通运输网络。</w:t>
      </w:r>
    </w:p>
    <w:p>
      <w:pPr>
        <w:pStyle w:val="33"/>
        <w:numPr>
          <w:ilvl w:val="0"/>
          <w:numId w:val="20"/>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优先保障</w:t>
      </w:r>
      <w:r>
        <w:rPr>
          <w:rFonts w:ascii="Times New Roman" w:eastAsia="仿宋"/>
          <w:b/>
          <w:sz w:val="28"/>
          <w:szCs w:val="28"/>
        </w:rPr>
        <w:t>水利设施</w:t>
      </w:r>
      <w:r>
        <w:rPr>
          <w:rFonts w:hint="eastAsia" w:ascii="Times New Roman" w:eastAsia="仿宋"/>
          <w:b/>
          <w:sz w:val="28"/>
          <w:szCs w:val="28"/>
        </w:rPr>
        <w:t>用地</w:t>
      </w:r>
      <w:r>
        <w:rPr>
          <w:rFonts w:ascii="Times New Roman" w:eastAsia="仿宋"/>
          <w:b/>
          <w:sz w:val="28"/>
          <w:szCs w:val="28"/>
        </w:rPr>
        <w:t>。</w:t>
      </w:r>
      <w:r>
        <w:rPr>
          <w:rFonts w:ascii="Times New Roman" w:eastAsia="仿宋"/>
          <w:sz w:val="28"/>
          <w:szCs w:val="28"/>
        </w:rPr>
        <w:t>按照水资源可持续利用和节水型社会建设的要求，推进</w:t>
      </w:r>
      <w:r>
        <w:rPr>
          <w:rFonts w:hint="eastAsia" w:ascii="Times New Roman" w:eastAsia="仿宋"/>
          <w:sz w:val="28"/>
          <w:szCs w:val="28"/>
        </w:rPr>
        <w:t>南山城镇</w:t>
      </w:r>
      <w:r>
        <w:rPr>
          <w:rFonts w:ascii="Times New Roman" w:eastAsia="仿宋"/>
          <w:sz w:val="28"/>
          <w:szCs w:val="28"/>
        </w:rPr>
        <w:t>水资源的合理配置、开发和利用，完善防洪工程体系。</w:t>
      </w:r>
    </w:p>
    <w:p>
      <w:pPr>
        <w:pStyle w:val="33"/>
        <w:numPr>
          <w:ilvl w:val="0"/>
          <w:numId w:val="20"/>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科学保障</w:t>
      </w:r>
      <w:r>
        <w:rPr>
          <w:rFonts w:ascii="Times New Roman" w:eastAsia="仿宋"/>
          <w:b/>
          <w:sz w:val="28"/>
          <w:szCs w:val="28"/>
        </w:rPr>
        <w:t>能源</w:t>
      </w:r>
      <w:r>
        <w:rPr>
          <w:rFonts w:hint="eastAsia" w:ascii="Times New Roman" w:eastAsia="仿宋"/>
          <w:b/>
          <w:sz w:val="28"/>
          <w:szCs w:val="28"/>
        </w:rPr>
        <w:t>环保用地</w:t>
      </w:r>
      <w:r>
        <w:rPr>
          <w:rFonts w:ascii="Times New Roman" w:eastAsia="仿宋"/>
          <w:b/>
          <w:sz w:val="28"/>
          <w:szCs w:val="28"/>
        </w:rPr>
        <w:t>。</w:t>
      </w:r>
      <w:r>
        <w:rPr>
          <w:rFonts w:eastAsia="仿宋"/>
          <w:sz w:val="28"/>
          <w:szCs w:val="28"/>
        </w:rPr>
        <w:t>按照加快发展电力、大力发展可再生能源的要求，稳定增加能源用地供应。巩固城乡电网改造成果，加快能源结构调整步伐，保障</w:t>
      </w:r>
      <w:r>
        <w:rPr>
          <w:rFonts w:hint="eastAsia" w:eastAsia="仿宋"/>
          <w:sz w:val="28"/>
          <w:szCs w:val="28"/>
        </w:rPr>
        <w:t>社会经济</w:t>
      </w:r>
      <w:r>
        <w:rPr>
          <w:rFonts w:eastAsia="仿宋"/>
          <w:sz w:val="28"/>
          <w:szCs w:val="28"/>
        </w:rPr>
        <w:t>发展对能源的需求</w:t>
      </w:r>
      <w:r>
        <w:rPr>
          <w:rFonts w:ascii="Times New Roman" w:eastAsia="仿宋"/>
          <w:sz w:val="28"/>
          <w:szCs w:val="28"/>
        </w:rPr>
        <w:t>。</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51" w:name="_Toc501034276"/>
      <w:r>
        <w:rPr>
          <w:rFonts w:eastAsia="黑体"/>
          <w:sz w:val="36"/>
          <w:szCs w:val="36"/>
        </w:rPr>
        <w:t>规划实施保障措施</w:t>
      </w:r>
      <w:bookmarkEnd w:id="51"/>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2" w:name="_Toc501034277"/>
      <w:r>
        <w:rPr>
          <w:rFonts w:ascii="Times New Roman" w:hAnsi="Times New Roman" w:eastAsia="宋体"/>
          <w:sz w:val="30"/>
          <w:szCs w:val="30"/>
        </w:rPr>
        <w:t>深化落实规划管理共同责任</w:t>
      </w:r>
      <w:bookmarkEnd w:id="52"/>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各级政府要将耕地保有量、基本农田保护面积、补充耕地数量和质量、节约集约用地等指标作为规划实施绩效考核的重要内容，政府主要负责人要对本行政辖区内的耕地保护和节约集约用地负总责，政府各相关部门要各司其职、密切协作，落实土地规划管理共同责任。</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3" w:name="_Toc501034278"/>
      <w:r>
        <w:rPr>
          <w:rFonts w:ascii="Times New Roman" w:hAnsi="Times New Roman" w:eastAsia="宋体"/>
          <w:sz w:val="30"/>
          <w:szCs w:val="30"/>
        </w:rPr>
        <w:t>深化多规融合相互协调衔接</w:t>
      </w:r>
      <w:bookmarkEnd w:id="53"/>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积极探索完善有利于各类空间性规划协调衔接的工作路径、协作机制，以第二次土地调查成果、土地利用总体规划和城镇总体规划为基础，加快划定永久基本农田、城镇开发边界和生态保护红线，推进“多规合一”。县乡级政府及有关部门编制城乡建设、产业发展、基础设施建设、矿产资源开发利用、生态建设和环境保护等相关规划，应当与土地利用总体规划相衔接，必须符合经济社会发展规划、主体功能区规划和保护耕地、节约集约用地要求，必须符合土地利用总体规划确定的用地规模和总体布局安排。严格依据土地利用总体规划，从严审查各类规划的用地规模和标准，切实落实土地用途管制制度。凡不符合土地利用总体规划和年度计划安排的，必须及时调整和修改，核减用地规模。</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4" w:name="_Toc501034279"/>
      <w:r>
        <w:rPr>
          <w:rFonts w:ascii="Times New Roman" w:hAnsi="Times New Roman" w:eastAsia="宋体"/>
          <w:sz w:val="30"/>
          <w:szCs w:val="30"/>
        </w:rPr>
        <w:t>加强规划实施管理制度建设</w:t>
      </w:r>
      <w:bookmarkEnd w:id="54"/>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强化规划实施管理，严格执行土地利用计划管理、建设项目用地预审管理、土地用途管制、建设用地空间管制、节约集约用地管理等规划实施管理制度，切实发挥规划对土地利用的统筹管控作用。</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5" w:name="_Toc501034280"/>
      <w:r>
        <w:rPr>
          <w:rFonts w:ascii="Times New Roman" w:hAnsi="Times New Roman" w:eastAsia="宋体"/>
          <w:sz w:val="30"/>
          <w:szCs w:val="30"/>
        </w:rPr>
        <w:t>完善耕地保护政策和机制</w:t>
      </w:r>
      <w:bookmarkEnd w:id="55"/>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建立和完善对耕地特别是基本农田保护的补偿制度，实行保护责任与财政补贴相挂钩，充分调动基层政府和农民保护耕地的积极性，逐步建立资源补偿机制，加大对超出补充耕地义务量以外补充耕地的资金支持和保障力度。严格落实耕地占一补一、占优补优，强化耕地占补平衡实施监管，确保补充数量质量双到位。以提高耕地产能为目标，完善配套政策措施，全面推进建设占用耕地耕作层土壤剥离再利用。实施耕地质量保护与提升行动，加强耕地内在质量建设，实现“藏粮于地”。</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6" w:name="_Toc501034281"/>
      <w:r>
        <w:rPr>
          <w:rFonts w:ascii="Times New Roman" w:hAnsi="Times New Roman" w:eastAsia="宋体"/>
          <w:sz w:val="30"/>
          <w:szCs w:val="30"/>
        </w:rPr>
        <w:t>健全土地节约集约利用机制</w:t>
      </w:r>
      <w:bookmarkEnd w:id="56"/>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逐步健全闲置和低效用地的利用调节机制，充分运用价格杠杆抑制多占、滥占和浪费土地现象。全面实行城镇建设用地增加规模与吸纳农业转移人口落户数量相挂钩的政策。建立城镇低效用地再开发激励机制，规范推进废弃农村居民点用地复垦利用和低丘缓坡地建设开发利用，严禁随意侵占或破坏林地、草地等生态用地。</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7" w:name="_Toc501034282"/>
      <w:r>
        <w:rPr>
          <w:rFonts w:ascii="Times New Roman" w:hAnsi="Times New Roman" w:eastAsia="宋体"/>
          <w:sz w:val="30"/>
          <w:szCs w:val="30"/>
        </w:rPr>
        <w:t>加大土地生态建设保护力度</w:t>
      </w:r>
      <w:bookmarkEnd w:id="57"/>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各项建设要避让优质耕地、河道滩涂、优质林地，严格保护水体、山峦等自然生态用地。实施建设用地减量化管理，把节约放在优先位置，进一步严格土地用途管制和</w:t>
      </w:r>
      <w:bookmarkStart w:id="58" w:name="page34"/>
      <w:bookmarkEnd w:id="58"/>
      <w:r>
        <w:rPr>
          <w:rFonts w:ascii="Times New Roman" w:eastAsia="仿宋"/>
          <w:sz w:val="28"/>
          <w:szCs w:val="28"/>
        </w:rPr>
        <w:t>城乡建设用地空间管制，控制耕地、园地、林地等转为建设用地，以最少的土地资源消耗支撑经济社会持续发展。把生态文明建设放在突出位置，按照生产空间集约高效、生活空间宜居适度、生态空间山清水秀的总要求，优化国土空间开发格局，统筹协调城乡结构和空间布局，继续推进生态退耕和天然林保护，加快实施土地综合整治，统筹管护和利用山水林田，全面推进生态保护和修复，促进各类自然生态系统安全稳定。</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9" w:name="_Toc501034283"/>
      <w:r>
        <w:rPr>
          <w:rFonts w:ascii="Times New Roman" w:hAnsi="Times New Roman" w:eastAsia="宋体"/>
          <w:sz w:val="30"/>
          <w:szCs w:val="30"/>
        </w:rPr>
        <w:t>健全规划管理责任制</w:t>
      </w:r>
      <w:bookmarkEnd w:id="59"/>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建立健全规划管理责任的考核体系。一是要落实分级管理责任制，层层签订责任书，确定管理人员，落实责任，逐级管理；二是要严格控制奖惩制，把耕地和基本农田保护区的管理和建设纳入各级领导任期目标和政绩考核内容，实行年度检查考核制度，对管理和建设有功者给予重奖，对管理不利者，要采取一票否决制，给予严肃处理；三是加强维护管理，建立成果归档制度，实行规划实施责任考核的动态监测和预警制度；四是完善规划实施考核体系，严格执行规划实施管理责任追究制，对违反法律规定擅自修改规划的和超出批地权限的给予行政处分，上级政府要责令限期整改，整改期间暂停农用地转用和征地审批，五是要广泛发动群众监督，实行举报制度。</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60" w:name="_Toc501034284"/>
      <w:r>
        <w:rPr>
          <w:rFonts w:ascii="Times New Roman" w:hAnsi="Times New Roman" w:eastAsia="宋体"/>
          <w:sz w:val="30"/>
          <w:szCs w:val="30"/>
        </w:rPr>
        <w:t>扩大规划民主决策和公众参与</w:t>
      </w:r>
      <w:bookmarkEnd w:id="60"/>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开展依法依规用地宣传教育，并充分利用各种媒体，对规划主要内容进行广泛宣传，提高全社会依法依规用地意识，增强对科学用地、节约用地、保护资源重要性的认识，把遵守土地利用法律、规划、政策变为全社会的自觉行为。</w:t>
      </w:r>
      <w:r>
        <w:rPr>
          <w:rFonts w:hint="eastAsia" w:ascii="Times New Roman" w:eastAsia="仿宋"/>
          <w:sz w:val="28"/>
          <w:szCs w:val="28"/>
        </w:rPr>
        <w:t>注重</w:t>
      </w:r>
      <w:r>
        <w:rPr>
          <w:rFonts w:ascii="Times New Roman" w:eastAsia="仿宋"/>
          <w:sz w:val="28"/>
          <w:szCs w:val="28"/>
        </w:rPr>
        <w:t>建立建设占用基本农田听证制度，</w:t>
      </w:r>
      <w:r>
        <w:rPr>
          <w:rFonts w:hint="eastAsia" w:ascii="Times New Roman" w:eastAsia="仿宋"/>
          <w:sz w:val="28"/>
          <w:szCs w:val="28"/>
        </w:rPr>
        <w:t>提高公众参与度</w:t>
      </w:r>
      <w:r>
        <w:rPr>
          <w:rFonts w:ascii="Times New Roman" w:eastAsia="仿宋"/>
          <w:sz w:val="28"/>
          <w:szCs w:val="28"/>
        </w:rPr>
        <w:t>。</w:t>
      </w:r>
    </w:p>
    <w:p>
      <w:pPr>
        <w:pStyle w:val="33"/>
        <w:tabs>
          <w:tab w:val="left" w:pos="360"/>
        </w:tabs>
        <w:spacing w:line="360" w:lineRule="auto"/>
        <w:ind w:firstLine="560"/>
        <w:rPr>
          <w:rFonts w:ascii="Times New Roman" w:eastAsia="仿宋"/>
          <w:sz w:val="28"/>
          <w:szCs w:val="28"/>
        </w:rPr>
      </w:pPr>
    </w:p>
    <w:p>
      <w:pPr>
        <w:sectPr>
          <w:headerReference r:id="rId5" w:type="default"/>
          <w:footerReference r:id="rId6" w:type="default"/>
          <w:pgSz w:w="11906" w:h="16838"/>
          <w:pgMar w:top="1418" w:right="1418" w:bottom="1418" w:left="1531" w:header="851" w:footer="992" w:gutter="227"/>
          <w:pgNumType w:start="1"/>
          <w:cols w:space="425" w:num="1"/>
          <w:docGrid w:type="lines" w:linePitch="312" w:charSpace="0"/>
        </w:sectPr>
      </w:pPr>
      <w:bookmarkStart w:id="61" w:name="_Toc241640256"/>
      <w:bookmarkStart w:id="62" w:name="_Toc243966554"/>
      <w:bookmarkStart w:id="63" w:name="_Toc241127615"/>
      <w:bookmarkStart w:id="64" w:name="_Toc243121886"/>
      <w:bookmarkStart w:id="65" w:name="_Toc258513430"/>
    </w:p>
    <w:p/>
    <w:bookmarkEnd w:id="61"/>
    <w:bookmarkEnd w:id="62"/>
    <w:bookmarkEnd w:id="63"/>
    <w:bookmarkEnd w:id="64"/>
    <w:p>
      <w:pPr>
        <w:pStyle w:val="4"/>
        <w:numPr>
          <w:ilvl w:val="0"/>
          <w:numId w:val="22"/>
        </w:numPr>
        <w:spacing w:before="0" w:after="0" w:line="240" w:lineRule="auto"/>
        <w:jc w:val="left"/>
        <w:rPr>
          <w:rFonts w:eastAsia="黑体"/>
          <w:b w:val="0"/>
          <w:sz w:val="28"/>
          <w:szCs w:val="28"/>
        </w:rPr>
      </w:pPr>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bookmarkEnd w:id="65"/>
      <w:r>
        <w:rPr>
          <w:rFonts w:hint="eastAsia" w:eastAsia="黑体"/>
          <w:b w:val="0"/>
          <w:sz w:val="28"/>
          <w:szCs w:val="28"/>
        </w:rPr>
        <w:t>南山城镇</w:t>
      </w:r>
      <w:r>
        <w:rPr>
          <w:rFonts w:eastAsia="黑体"/>
          <w:b w:val="0"/>
          <w:sz w:val="28"/>
          <w:szCs w:val="28"/>
        </w:rPr>
        <w:t>土地利用主要调控指标表</w:t>
      </w:r>
    </w:p>
    <w:p>
      <w:pPr>
        <w:jc w:val="right"/>
      </w:pPr>
      <w:r>
        <w:rPr>
          <w:rFonts w:eastAsia="仿宋"/>
          <w:szCs w:val="21"/>
        </w:rPr>
        <w:t>单位：公顷</w:t>
      </w:r>
    </w:p>
    <w:tbl>
      <w:tblPr>
        <w:tblStyle w:val="26"/>
        <w:tblW w:w="8946" w:type="dxa"/>
        <w:tblInd w:w="0" w:type="dxa"/>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3511"/>
        <w:gridCol w:w="1134"/>
        <w:gridCol w:w="841"/>
        <w:gridCol w:w="719"/>
        <w:gridCol w:w="1585"/>
        <w:gridCol w:w="1156"/>
      </w:tblGrid>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jc w:val="center"/>
              <w:rPr>
                <w:rFonts w:eastAsia="仿宋"/>
                <w:b/>
                <w:kern w:val="0"/>
                <w:szCs w:val="21"/>
              </w:rPr>
            </w:pPr>
            <w:r>
              <w:rPr>
                <w:rFonts w:eastAsia="仿宋"/>
                <w:b/>
                <w:kern w:val="0"/>
                <w:szCs w:val="21"/>
              </w:rPr>
              <w:t>指    标</w:t>
            </w:r>
          </w:p>
        </w:tc>
        <w:tc>
          <w:tcPr>
            <w:tcW w:w="1134" w:type="dxa"/>
            <w:shd w:val="clear" w:color="auto" w:fill="auto"/>
            <w:vAlign w:val="center"/>
          </w:tcPr>
          <w:p>
            <w:pPr>
              <w:widowControl/>
              <w:jc w:val="center"/>
              <w:rPr>
                <w:rFonts w:eastAsia="仿宋"/>
                <w:b/>
                <w:kern w:val="0"/>
                <w:szCs w:val="21"/>
              </w:rPr>
            </w:pPr>
            <w:r>
              <w:rPr>
                <w:rFonts w:eastAsia="仿宋"/>
                <w:b/>
                <w:kern w:val="0"/>
                <w:szCs w:val="21"/>
              </w:rPr>
              <w:t>2014年</w:t>
            </w:r>
          </w:p>
        </w:tc>
        <w:tc>
          <w:tcPr>
            <w:tcW w:w="1560" w:type="dxa"/>
            <w:gridSpan w:val="2"/>
          </w:tcPr>
          <w:p>
            <w:pPr>
              <w:widowControl/>
              <w:jc w:val="center"/>
              <w:rPr>
                <w:rFonts w:eastAsia="仿宋"/>
                <w:b/>
                <w:kern w:val="0"/>
                <w:szCs w:val="21"/>
              </w:rPr>
            </w:pPr>
            <w:r>
              <w:rPr>
                <w:rFonts w:eastAsia="仿宋"/>
                <w:b/>
                <w:kern w:val="0"/>
                <w:szCs w:val="21"/>
              </w:rPr>
              <w:t>调整</w:t>
            </w:r>
            <w:r>
              <w:rPr>
                <w:rFonts w:hint="eastAsia" w:eastAsia="仿宋"/>
                <w:b/>
                <w:kern w:val="0"/>
                <w:szCs w:val="21"/>
              </w:rPr>
              <w:t>前</w:t>
            </w:r>
            <w:r>
              <w:rPr>
                <w:rFonts w:eastAsia="仿宋"/>
                <w:b/>
                <w:kern w:val="0"/>
                <w:szCs w:val="21"/>
              </w:rPr>
              <w:t>2020年</w:t>
            </w:r>
          </w:p>
        </w:tc>
        <w:tc>
          <w:tcPr>
            <w:tcW w:w="1585" w:type="dxa"/>
            <w:shd w:val="clear" w:color="auto" w:fill="auto"/>
            <w:vAlign w:val="center"/>
          </w:tcPr>
          <w:p>
            <w:pPr>
              <w:widowControl/>
              <w:jc w:val="center"/>
              <w:rPr>
                <w:rFonts w:eastAsia="仿宋"/>
                <w:b/>
                <w:kern w:val="0"/>
                <w:szCs w:val="21"/>
              </w:rPr>
            </w:pPr>
            <w:r>
              <w:rPr>
                <w:rFonts w:eastAsia="仿宋"/>
                <w:b/>
                <w:kern w:val="0"/>
                <w:szCs w:val="21"/>
              </w:rPr>
              <w:t>调整后2020年</w:t>
            </w:r>
          </w:p>
        </w:tc>
        <w:tc>
          <w:tcPr>
            <w:tcW w:w="1156" w:type="dxa"/>
            <w:shd w:val="clear" w:color="auto" w:fill="auto"/>
            <w:vAlign w:val="center"/>
          </w:tcPr>
          <w:p>
            <w:pPr>
              <w:widowControl/>
              <w:jc w:val="center"/>
              <w:rPr>
                <w:rFonts w:eastAsia="仿宋"/>
                <w:b/>
                <w:kern w:val="0"/>
                <w:szCs w:val="21"/>
              </w:rPr>
            </w:pPr>
            <w:r>
              <w:rPr>
                <w:rFonts w:eastAsia="仿宋"/>
                <w:b/>
                <w:kern w:val="0"/>
                <w:szCs w:val="21"/>
              </w:rPr>
              <w:t>指标属性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gridAfter w:val="3"/>
          <w:wAfter w:w="3460" w:type="dxa"/>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总量指标（公顷）</w:t>
            </w:r>
          </w:p>
        </w:tc>
        <w:tc>
          <w:tcPr>
            <w:tcW w:w="1975" w:type="dxa"/>
            <w:gridSpan w:val="2"/>
          </w:tcPr>
          <w:p>
            <w:pPr>
              <w:widowControl/>
              <w:rPr>
                <w:rFonts w:eastAsia="仿宋"/>
                <w:b/>
                <w:kern w:val="0"/>
                <w:szCs w:val="21"/>
              </w:rPr>
            </w:pP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耕地保有量</w:t>
            </w:r>
          </w:p>
        </w:tc>
        <w:tc>
          <w:tcPr>
            <w:tcW w:w="1134" w:type="dxa"/>
            <w:shd w:val="clear" w:color="auto" w:fill="auto"/>
            <w:vAlign w:val="center"/>
          </w:tcPr>
          <w:p>
            <w:pPr>
              <w:jc w:val="center"/>
              <w:rPr>
                <w:color w:val="000000"/>
                <w:szCs w:val="21"/>
              </w:rPr>
            </w:pPr>
            <w:r>
              <w:rPr>
                <w:color w:val="000000"/>
                <w:szCs w:val="21"/>
              </w:rPr>
              <w:t>9767.2</w:t>
            </w:r>
          </w:p>
        </w:tc>
        <w:tc>
          <w:tcPr>
            <w:tcW w:w="1560" w:type="dxa"/>
            <w:gridSpan w:val="2"/>
            <w:vAlign w:val="center"/>
          </w:tcPr>
          <w:p>
            <w:pPr>
              <w:jc w:val="center"/>
              <w:rPr>
                <w:color w:val="000000"/>
                <w:szCs w:val="21"/>
              </w:rPr>
            </w:pPr>
            <w:r>
              <w:rPr>
                <w:color w:val="000000"/>
                <w:szCs w:val="21"/>
              </w:rPr>
              <w:t>6883.0</w:t>
            </w:r>
          </w:p>
        </w:tc>
        <w:tc>
          <w:tcPr>
            <w:tcW w:w="1585" w:type="dxa"/>
            <w:shd w:val="clear" w:color="auto" w:fill="auto"/>
            <w:vAlign w:val="center"/>
          </w:tcPr>
          <w:p>
            <w:pPr>
              <w:jc w:val="center"/>
              <w:rPr>
                <w:color w:val="000000"/>
                <w:szCs w:val="21"/>
              </w:rPr>
            </w:pPr>
            <w:r>
              <w:rPr>
                <w:color w:val="000000"/>
                <w:szCs w:val="21"/>
              </w:rPr>
              <w:t>8965.7</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基本农田保护面积</w:t>
            </w:r>
          </w:p>
        </w:tc>
        <w:tc>
          <w:tcPr>
            <w:tcW w:w="1134" w:type="dxa"/>
            <w:shd w:val="clear" w:color="auto" w:fill="auto"/>
            <w:vAlign w:val="center"/>
          </w:tcPr>
          <w:p>
            <w:pPr>
              <w:jc w:val="center"/>
              <w:rPr>
                <w:color w:val="000000"/>
                <w:szCs w:val="21"/>
              </w:rPr>
            </w:pPr>
            <w:r>
              <w:rPr>
                <w:color w:val="000000"/>
                <w:szCs w:val="21"/>
              </w:rPr>
              <w:t>—</w:t>
            </w:r>
          </w:p>
        </w:tc>
        <w:tc>
          <w:tcPr>
            <w:tcW w:w="1560" w:type="dxa"/>
            <w:gridSpan w:val="2"/>
            <w:vAlign w:val="center"/>
          </w:tcPr>
          <w:p>
            <w:pPr>
              <w:jc w:val="center"/>
              <w:rPr>
                <w:color w:val="000000"/>
                <w:szCs w:val="21"/>
              </w:rPr>
            </w:pPr>
            <w:r>
              <w:rPr>
                <w:color w:val="000000"/>
                <w:szCs w:val="21"/>
              </w:rPr>
              <w:t>6555.4</w:t>
            </w:r>
          </w:p>
        </w:tc>
        <w:tc>
          <w:tcPr>
            <w:tcW w:w="1585" w:type="dxa"/>
            <w:shd w:val="clear" w:color="auto" w:fill="auto"/>
            <w:vAlign w:val="center"/>
          </w:tcPr>
          <w:p>
            <w:pPr>
              <w:jc w:val="center"/>
              <w:rPr>
                <w:color w:val="000000"/>
                <w:szCs w:val="21"/>
              </w:rPr>
            </w:pPr>
            <w:r>
              <w:rPr>
                <w:color w:val="000000"/>
                <w:szCs w:val="21"/>
              </w:rPr>
              <w:t>6625.4</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园地面积</w:t>
            </w:r>
          </w:p>
        </w:tc>
        <w:tc>
          <w:tcPr>
            <w:tcW w:w="1134" w:type="dxa"/>
            <w:shd w:val="clear" w:color="auto" w:fill="auto"/>
            <w:vAlign w:val="center"/>
          </w:tcPr>
          <w:p>
            <w:pPr>
              <w:jc w:val="center"/>
              <w:rPr>
                <w:color w:val="000000"/>
                <w:szCs w:val="21"/>
              </w:rPr>
            </w:pPr>
            <w:r>
              <w:rPr>
                <w:color w:val="000000"/>
                <w:szCs w:val="21"/>
              </w:rPr>
              <w:t>62.7</w:t>
            </w:r>
          </w:p>
        </w:tc>
        <w:tc>
          <w:tcPr>
            <w:tcW w:w="1560" w:type="dxa"/>
            <w:gridSpan w:val="2"/>
            <w:vAlign w:val="center"/>
          </w:tcPr>
          <w:p>
            <w:pPr>
              <w:jc w:val="center"/>
              <w:rPr>
                <w:color w:val="000000"/>
                <w:szCs w:val="21"/>
              </w:rPr>
            </w:pPr>
            <w:r>
              <w:rPr>
                <w:color w:val="000000"/>
                <w:szCs w:val="21"/>
              </w:rPr>
              <w:t>52.4</w:t>
            </w:r>
          </w:p>
        </w:tc>
        <w:tc>
          <w:tcPr>
            <w:tcW w:w="1585" w:type="dxa"/>
            <w:shd w:val="clear" w:color="auto" w:fill="auto"/>
            <w:vAlign w:val="center"/>
          </w:tcPr>
          <w:p>
            <w:pPr>
              <w:jc w:val="center"/>
              <w:rPr>
                <w:color w:val="000000"/>
                <w:szCs w:val="21"/>
              </w:rPr>
            </w:pPr>
            <w:r>
              <w:rPr>
                <w:color w:val="000000"/>
                <w:szCs w:val="21"/>
              </w:rPr>
              <w:t>52.4</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林地面积</w:t>
            </w:r>
          </w:p>
        </w:tc>
        <w:tc>
          <w:tcPr>
            <w:tcW w:w="1134" w:type="dxa"/>
            <w:shd w:val="clear" w:color="auto" w:fill="auto"/>
            <w:vAlign w:val="center"/>
          </w:tcPr>
          <w:p>
            <w:pPr>
              <w:jc w:val="center"/>
              <w:rPr>
                <w:color w:val="000000"/>
                <w:szCs w:val="21"/>
              </w:rPr>
            </w:pPr>
            <w:r>
              <w:rPr>
                <w:color w:val="000000"/>
                <w:szCs w:val="21"/>
              </w:rPr>
              <w:t>30532.8</w:t>
            </w:r>
          </w:p>
        </w:tc>
        <w:tc>
          <w:tcPr>
            <w:tcW w:w="1560" w:type="dxa"/>
            <w:gridSpan w:val="2"/>
            <w:vAlign w:val="center"/>
          </w:tcPr>
          <w:p>
            <w:pPr>
              <w:jc w:val="center"/>
              <w:rPr>
                <w:color w:val="000000"/>
                <w:szCs w:val="21"/>
              </w:rPr>
            </w:pPr>
            <w:r>
              <w:rPr>
                <w:color w:val="000000"/>
                <w:szCs w:val="21"/>
              </w:rPr>
              <w:t>30484.0</w:t>
            </w:r>
          </w:p>
        </w:tc>
        <w:tc>
          <w:tcPr>
            <w:tcW w:w="1585" w:type="dxa"/>
            <w:shd w:val="clear" w:color="auto" w:fill="auto"/>
            <w:vAlign w:val="center"/>
          </w:tcPr>
          <w:p>
            <w:pPr>
              <w:jc w:val="center"/>
              <w:rPr>
                <w:color w:val="000000"/>
                <w:szCs w:val="21"/>
              </w:rPr>
            </w:pPr>
            <w:r>
              <w:rPr>
                <w:color w:val="000000"/>
                <w:szCs w:val="21"/>
              </w:rPr>
              <w:t>30688.7</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牧草地面积</w:t>
            </w:r>
          </w:p>
        </w:tc>
        <w:tc>
          <w:tcPr>
            <w:tcW w:w="1134" w:type="dxa"/>
            <w:shd w:val="clear" w:color="auto" w:fill="auto"/>
            <w:vAlign w:val="center"/>
          </w:tcPr>
          <w:p>
            <w:pPr>
              <w:jc w:val="center"/>
              <w:rPr>
                <w:color w:val="000000"/>
                <w:szCs w:val="21"/>
              </w:rPr>
            </w:pPr>
            <w:r>
              <w:rPr>
                <w:color w:val="000000"/>
                <w:szCs w:val="21"/>
              </w:rPr>
              <w:t>0.0</w:t>
            </w:r>
          </w:p>
        </w:tc>
        <w:tc>
          <w:tcPr>
            <w:tcW w:w="1560" w:type="dxa"/>
            <w:gridSpan w:val="2"/>
            <w:vAlign w:val="center"/>
          </w:tcPr>
          <w:p>
            <w:pPr>
              <w:jc w:val="center"/>
              <w:rPr>
                <w:color w:val="000000"/>
                <w:szCs w:val="21"/>
              </w:rPr>
            </w:pPr>
            <w:r>
              <w:rPr>
                <w:color w:val="000000"/>
                <w:szCs w:val="21"/>
              </w:rPr>
              <w:t>582.8</w:t>
            </w:r>
          </w:p>
        </w:tc>
        <w:tc>
          <w:tcPr>
            <w:tcW w:w="1585" w:type="dxa"/>
            <w:shd w:val="clear" w:color="auto" w:fill="auto"/>
            <w:vAlign w:val="center"/>
          </w:tcPr>
          <w:p>
            <w:pPr>
              <w:jc w:val="center"/>
              <w:rPr>
                <w:color w:val="000000"/>
                <w:szCs w:val="21"/>
              </w:rPr>
            </w:pPr>
            <w:r>
              <w:rPr>
                <w:color w:val="000000"/>
                <w:szCs w:val="21"/>
              </w:rPr>
              <w:t>582.8</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建设用地总规模</w:t>
            </w:r>
          </w:p>
        </w:tc>
        <w:tc>
          <w:tcPr>
            <w:tcW w:w="1134" w:type="dxa"/>
            <w:shd w:val="clear" w:color="auto" w:fill="auto"/>
            <w:vAlign w:val="center"/>
          </w:tcPr>
          <w:p>
            <w:pPr>
              <w:jc w:val="center"/>
              <w:rPr>
                <w:color w:val="000000"/>
                <w:szCs w:val="21"/>
              </w:rPr>
            </w:pPr>
            <w:r>
              <w:rPr>
                <w:color w:val="000000"/>
                <w:szCs w:val="21"/>
              </w:rPr>
              <w:t>1038.5</w:t>
            </w:r>
          </w:p>
        </w:tc>
        <w:tc>
          <w:tcPr>
            <w:tcW w:w="1560" w:type="dxa"/>
            <w:gridSpan w:val="2"/>
            <w:vAlign w:val="center"/>
          </w:tcPr>
          <w:p>
            <w:pPr>
              <w:jc w:val="center"/>
              <w:rPr>
                <w:color w:val="000000"/>
                <w:szCs w:val="21"/>
              </w:rPr>
            </w:pPr>
            <w:r>
              <w:rPr>
                <w:color w:val="000000"/>
                <w:szCs w:val="21"/>
              </w:rPr>
              <w:t>1077.7</w:t>
            </w:r>
          </w:p>
        </w:tc>
        <w:tc>
          <w:tcPr>
            <w:tcW w:w="1585" w:type="dxa"/>
            <w:shd w:val="clear" w:color="auto" w:fill="auto"/>
            <w:vAlign w:val="center"/>
          </w:tcPr>
          <w:p>
            <w:pPr>
              <w:jc w:val="center"/>
              <w:rPr>
                <w:color w:val="000000"/>
                <w:szCs w:val="21"/>
              </w:rPr>
            </w:pPr>
            <w:r>
              <w:rPr>
                <w:color w:val="000000"/>
                <w:szCs w:val="21"/>
              </w:rPr>
              <w:t>1011.6</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城乡建设用地规模</w:t>
            </w:r>
          </w:p>
        </w:tc>
        <w:tc>
          <w:tcPr>
            <w:tcW w:w="1134" w:type="dxa"/>
            <w:shd w:val="clear" w:color="auto" w:fill="auto"/>
            <w:vAlign w:val="center"/>
          </w:tcPr>
          <w:p>
            <w:pPr>
              <w:jc w:val="center"/>
              <w:rPr>
                <w:color w:val="000000"/>
                <w:szCs w:val="21"/>
              </w:rPr>
            </w:pPr>
            <w:r>
              <w:rPr>
                <w:color w:val="000000"/>
                <w:szCs w:val="21"/>
              </w:rPr>
              <w:t>745.9</w:t>
            </w:r>
          </w:p>
        </w:tc>
        <w:tc>
          <w:tcPr>
            <w:tcW w:w="1560" w:type="dxa"/>
            <w:gridSpan w:val="2"/>
            <w:vAlign w:val="center"/>
          </w:tcPr>
          <w:p>
            <w:pPr>
              <w:jc w:val="center"/>
              <w:rPr>
                <w:color w:val="000000"/>
                <w:szCs w:val="21"/>
              </w:rPr>
            </w:pPr>
            <w:r>
              <w:rPr>
                <w:color w:val="000000"/>
                <w:szCs w:val="21"/>
              </w:rPr>
              <w:t>483.6</w:t>
            </w:r>
          </w:p>
        </w:tc>
        <w:tc>
          <w:tcPr>
            <w:tcW w:w="1585" w:type="dxa"/>
            <w:shd w:val="clear" w:color="auto" w:fill="auto"/>
            <w:vAlign w:val="center"/>
          </w:tcPr>
          <w:p>
            <w:pPr>
              <w:jc w:val="center"/>
              <w:rPr>
                <w:color w:val="000000"/>
                <w:szCs w:val="21"/>
              </w:rPr>
            </w:pPr>
            <w:r>
              <w:rPr>
                <w:color w:val="000000"/>
                <w:szCs w:val="21"/>
              </w:rPr>
              <w:t>553.0</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城镇工矿用地规模</w:t>
            </w:r>
          </w:p>
        </w:tc>
        <w:tc>
          <w:tcPr>
            <w:tcW w:w="1134" w:type="dxa"/>
            <w:shd w:val="clear" w:color="auto" w:fill="auto"/>
            <w:vAlign w:val="center"/>
          </w:tcPr>
          <w:p>
            <w:pPr>
              <w:jc w:val="center"/>
              <w:rPr>
                <w:color w:val="000000"/>
                <w:szCs w:val="21"/>
              </w:rPr>
            </w:pPr>
            <w:r>
              <w:rPr>
                <w:color w:val="000000"/>
                <w:szCs w:val="21"/>
              </w:rPr>
              <w:t>95.2</w:t>
            </w:r>
          </w:p>
        </w:tc>
        <w:tc>
          <w:tcPr>
            <w:tcW w:w="1560" w:type="dxa"/>
            <w:gridSpan w:val="2"/>
            <w:vAlign w:val="center"/>
          </w:tcPr>
          <w:p>
            <w:pPr>
              <w:jc w:val="center"/>
              <w:rPr>
                <w:color w:val="000000"/>
                <w:szCs w:val="21"/>
              </w:rPr>
            </w:pPr>
            <w:r>
              <w:rPr>
                <w:color w:val="000000"/>
                <w:szCs w:val="21"/>
              </w:rPr>
              <w:t>121.8</w:t>
            </w:r>
          </w:p>
        </w:tc>
        <w:tc>
          <w:tcPr>
            <w:tcW w:w="1585" w:type="dxa"/>
            <w:shd w:val="clear" w:color="auto" w:fill="auto"/>
            <w:vAlign w:val="center"/>
          </w:tcPr>
          <w:p>
            <w:pPr>
              <w:jc w:val="center"/>
              <w:rPr>
                <w:color w:val="000000"/>
                <w:szCs w:val="21"/>
              </w:rPr>
            </w:pPr>
            <w:r>
              <w:rPr>
                <w:color w:val="000000"/>
                <w:szCs w:val="21"/>
              </w:rPr>
              <w:t>88.0</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交通、水利设施及其他用地规模</w:t>
            </w:r>
          </w:p>
        </w:tc>
        <w:tc>
          <w:tcPr>
            <w:tcW w:w="1134" w:type="dxa"/>
            <w:shd w:val="clear" w:color="auto" w:fill="auto"/>
            <w:vAlign w:val="center"/>
          </w:tcPr>
          <w:p>
            <w:pPr>
              <w:jc w:val="center"/>
              <w:rPr>
                <w:color w:val="000000"/>
                <w:szCs w:val="21"/>
              </w:rPr>
            </w:pPr>
            <w:r>
              <w:rPr>
                <w:color w:val="000000"/>
                <w:szCs w:val="21"/>
              </w:rPr>
              <w:t>292.6</w:t>
            </w:r>
          </w:p>
        </w:tc>
        <w:tc>
          <w:tcPr>
            <w:tcW w:w="1560" w:type="dxa"/>
            <w:gridSpan w:val="2"/>
            <w:vAlign w:val="center"/>
          </w:tcPr>
          <w:p>
            <w:pPr>
              <w:jc w:val="center"/>
              <w:rPr>
                <w:color w:val="000000"/>
                <w:szCs w:val="21"/>
              </w:rPr>
            </w:pPr>
            <w:r>
              <w:rPr>
                <w:color w:val="000000"/>
                <w:szCs w:val="21"/>
              </w:rPr>
              <w:t>594.2</w:t>
            </w:r>
          </w:p>
        </w:tc>
        <w:tc>
          <w:tcPr>
            <w:tcW w:w="1585" w:type="dxa"/>
            <w:shd w:val="clear" w:color="auto" w:fill="auto"/>
            <w:vAlign w:val="center"/>
          </w:tcPr>
          <w:p>
            <w:pPr>
              <w:jc w:val="center"/>
              <w:rPr>
                <w:color w:val="000000"/>
                <w:szCs w:val="21"/>
              </w:rPr>
            </w:pPr>
            <w:r>
              <w:rPr>
                <w:color w:val="000000"/>
                <w:szCs w:val="21"/>
              </w:rPr>
              <w:t>458.6</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gridAfter w:val="3"/>
          <w:wAfter w:w="3460" w:type="dxa"/>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增量指标（公顷）</w:t>
            </w:r>
          </w:p>
        </w:tc>
        <w:tc>
          <w:tcPr>
            <w:tcW w:w="1975" w:type="dxa"/>
            <w:gridSpan w:val="2"/>
            <w:vAlign w:val="center"/>
          </w:tcPr>
          <w:p>
            <w:pPr>
              <w:widowControl/>
              <w:jc w:val="center"/>
              <w:rPr>
                <w:rFonts w:eastAsia="仿宋"/>
                <w:b/>
                <w:kern w:val="0"/>
                <w:szCs w:val="21"/>
              </w:rPr>
            </w:pP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新增建设用地总量</w:t>
            </w:r>
          </w:p>
        </w:tc>
        <w:tc>
          <w:tcPr>
            <w:tcW w:w="1134" w:type="dxa"/>
            <w:shd w:val="clear" w:color="auto" w:fill="auto"/>
            <w:vAlign w:val="center"/>
          </w:tcPr>
          <w:p>
            <w:pPr>
              <w:widowControl/>
              <w:jc w:val="center"/>
              <w:rPr>
                <w:rFonts w:eastAsia="仿宋"/>
                <w:kern w:val="0"/>
                <w:szCs w:val="21"/>
              </w:rPr>
            </w:pPr>
            <w:r>
              <w:rPr>
                <w:b/>
                <w:color w:val="000000"/>
                <w:szCs w:val="21"/>
              </w:rPr>
              <w:t>—</w:t>
            </w:r>
          </w:p>
        </w:tc>
        <w:tc>
          <w:tcPr>
            <w:tcW w:w="1560" w:type="dxa"/>
            <w:gridSpan w:val="2"/>
            <w:vAlign w:val="center"/>
          </w:tcPr>
          <w:p>
            <w:pPr>
              <w:jc w:val="center"/>
              <w:rPr>
                <w:color w:val="000000"/>
                <w:szCs w:val="21"/>
              </w:rPr>
            </w:pPr>
            <w:r>
              <w:rPr>
                <w:color w:val="000000"/>
                <w:szCs w:val="21"/>
              </w:rPr>
              <w:t>45.0</w:t>
            </w:r>
          </w:p>
        </w:tc>
        <w:tc>
          <w:tcPr>
            <w:tcW w:w="1585" w:type="dxa"/>
            <w:shd w:val="clear" w:color="auto" w:fill="auto"/>
            <w:vAlign w:val="center"/>
          </w:tcPr>
          <w:p>
            <w:pPr>
              <w:jc w:val="center"/>
              <w:rPr>
                <w:color w:val="000000"/>
                <w:szCs w:val="21"/>
              </w:rPr>
            </w:pPr>
            <w:r>
              <w:rPr>
                <w:color w:val="000000"/>
                <w:szCs w:val="21"/>
              </w:rPr>
              <w:t>10.0</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建设占用农用地规模</w:t>
            </w:r>
          </w:p>
        </w:tc>
        <w:tc>
          <w:tcPr>
            <w:tcW w:w="1134" w:type="dxa"/>
            <w:shd w:val="clear" w:color="auto" w:fill="auto"/>
            <w:vAlign w:val="center"/>
          </w:tcPr>
          <w:p>
            <w:pPr>
              <w:widowControl/>
              <w:jc w:val="center"/>
              <w:rPr>
                <w:rFonts w:eastAsia="仿宋"/>
                <w:kern w:val="0"/>
                <w:szCs w:val="21"/>
              </w:rPr>
            </w:pPr>
            <w:r>
              <w:rPr>
                <w:b/>
                <w:color w:val="000000"/>
                <w:szCs w:val="21"/>
              </w:rPr>
              <w:t>—</w:t>
            </w:r>
          </w:p>
        </w:tc>
        <w:tc>
          <w:tcPr>
            <w:tcW w:w="1560" w:type="dxa"/>
            <w:gridSpan w:val="2"/>
            <w:vAlign w:val="center"/>
          </w:tcPr>
          <w:p>
            <w:pPr>
              <w:jc w:val="center"/>
              <w:rPr>
                <w:color w:val="000000"/>
                <w:szCs w:val="21"/>
              </w:rPr>
            </w:pPr>
            <w:r>
              <w:rPr>
                <w:color w:val="000000"/>
                <w:szCs w:val="21"/>
              </w:rPr>
              <w:t>35.9</w:t>
            </w:r>
          </w:p>
        </w:tc>
        <w:tc>
          <w:tcPr>
            <w:tcW w:w="1585" w:type="dxa"/>
            <w:shd w:val="clear" w:color="auto" w:fill="auto"/>
            <w:vAlign w:val="center"/>
          </w:tcPr>
          <w:p>
            <w:pPr>
              <w:jc w:val="center"/>
              <w:rPr>
                <w:color w:val="000000"/>
                <w:szCs w:val="21"/>
              </w:rPr>
            </w:pPr>
            <w:r>
              <w:rPr>
                <w:color w:val="000000"/>
                <w:szCs w:val="21"/>
              </w:rPr>
              <w:t>4.0</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建设占用耕地规模</w:t>
            </w:r>
          </w:p>
        </w:tc>
        <w:tc>
          <w:tcPr>
            <w:tcW w:w="1134" w:type="dxa"/>
            <w:shd w:val="clear" w:color="auto" w:fill="auto"/>
            <w:vAlign w:val="center"/>
          </w:tcPr>
          <w:p>
            <w:pPr>
              <w:widowControl/>
              <w:jc w:val="center"/>
              <w:rPr>
                <w:rFonts w:eastAsia="仿宋"/>
                <w:kern w:val="0"/>
                <w:szCs w:val="21"/>
              </w:rPr>
            </w:pPr>
            <w:r>
              <w:rPr>
                <w:b/>
                <w:color w:val="000000"/>
                <w:szCs w:val="21"/>
              </w:rPr>
              <w:t>—</w:t>
            </w:r>
          </w:p>
        </w:tc>
        <w:tc>
          <w:tcPr>
            <w:tcW w:w="1560" w:type="dxa"/>
            <w:gridSpan w:val="2"/>
            <w:vAlign w:val="center"/>
          </w:tcPr>
          <w:p>
            <w:pPr>
              <w:jc w:val="center"/>
              <w:rPr>
                <w:color w:val="000000"/>
                <w:szCs w:val="21"/>
              </w:rPr>
            </w:pPr>
            <w:r>
              <w:rPr>
                <w:color w:val="000000"/>
                <w:szCs w:val="21"/>
              </w:rPr>
              <w:t>20.1</w:t>
            </w:r>
          </w:p>
        </w:tc>
        <w:tc>
          <w:tcPr>
            <w:tcW w:w="1585" w:type="dxa"/>
            <w:shd w:val="clear" w:color="auto" w:fill="auto"/>
            <w:vAlign w:val="center"/>
          </w:tcPr>
          <w:p>
            <w:pPr>
              <w:jc w:val="center"/>
              <w:rPr>
                <w:color w:val="000000"/>
                <w:szCs w:val="21"/>
              </w:rPr>
            </w:pPr>
            <w:r>
              <w:rPr>
                <w:color w:val="000000"/>
                <w:szCs w:val="21"/>
              </w:rPr>
              <w:t>3.0</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整理复垦开发补充耕地义务量</w:t>
            </w:r>
            <w:r>
              <w:rPr>
                <w:rFonts w:hint="eastAsia" w:eastAsia="仿宋"/>
                <w:b/>
                <w:kern w:val="0"/>
                <w:szCs w:val="21"/>
                <w:lang w:eastAsia="zh-CN"/>
              </w:rPr>
              <w:t>（任务量）</w:t>
            </w:r>
          </w:p>
        </w:tc>
        <w:tc>
          <w:tcPr>
            <w:tcW w:w="1134" w:type="dxa"/>
            <w:shd w:val="clear" w:color="auto" w:fill="auto"/>
            <w:vAlign w:val="center"/>
          </w:tcPr>
          <w:p>
            <w:pPr>
              <w:widowControl/>
              <w:jc w:val="center"/>
              <w:rPr>
                <w:rFonts w:eastAsia="仿宋"/>
                <w:kern w:val="0"/>
                <w:szCs w:val="21"/>
              </w:rPr>
            </w:pPr>
            <w:r>
              <w:rPr>
                <w:b/>
                <w:color w:val="000000"/>
                <w:szCs w:val="21"/>
              </w:rPr>
              <w:t>—</w:t>
            </w:r>
          </w:p>
        </w:tc>
        <w:tc>
          <w:tcPr>
            <w:tcW w:w="1560" w:type="dxa"/>
            <w:gridSpan w:val="2"/>
            <w:vAlign w:val="center"/>
          </w:tcPr>
          <w:p>
            <w:pPr>
              <w:jc w:val="center"/>
              <w:rPr>
                <w:color w:val="000000"/>
                <w:szCs w:val="21"/>
              </w:rPr>
            </w:pPr>
            <w:r>
              <w:rPr>
                <w:color w:val="000000"/>
                <w:szCs w:val="21"/>
              </w:rPr>
              <w:t>90.9</w:t>
            </w:r>
          </w:p>
        </w:tc>
        <w:tc>
          <w:tcPr>
            <w:tcW w:w="1585" w:type="dxa"/>
            <w:shd w:val="clear" w:color="auto" w:fill="auto"/>
            <w:vAlign w:val="center"/>
          </w:tcPr>
          <w:p>
            <w:pPr>
              <w:jc w:val="center"/>
              <w:rPr>
                <w:color w:val="000000"/>
                <w:szCs w:val="21"/>
              </w:rPr>
            </w:pPr>
            <w:r>
              <w:rPr>
                <w:rFonts w:hint="eastAsia"/>
                <w:color w:val="000000"/>
                <w:szCs w:val="21"/>
                <w:lang w:val="en-US" w:eastAsia="zh-CN"/>
              </w:rPr>
              <w:t>3.0（</w:t>
            </w:r>
            <w:r>
              <w:rPr>
                <w:rFonts w:hint="eastAsia"/>
                <w:color w:val="000000"/>
                <w:szCs w:val="21"/>
              </w:rPr>
              <w:t>144.9</w:t>
            </w:r>
            <w:r>
              <w:rPr>
                <w:rFonts w:hint="eastAsia"/>
                <w:color w:val="000000"/>
                <w:szCs w:val="21"/>
                <w:lang w:val="en-US" w:eastAsia="zh-CN"/>
              </w:rPr>
              <w:t>）</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gridAfter w:val="3"/>
          <w:wAfter w:w="3460" w:type="dxa"/>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效益指标（平方米/人）</w:t>
            </w:r>
          </w:p>
        </w:tc>
        <w:tc>
          <w:tcPr>
            <w:tcW w:w="1975" w:type="dxa"/>
            <w:gridSpan w:val="2"/>
            <w:vAlign w:val="center"/>
          </w:tcPr>
          <w:p>
            <w:pPr>
              <w:widowControl/>
              <w:jc w:val="center"/>
              <w:rPr>
                <w:rFonts w:eastAsia="仿宋"/>
                <w:b/>
                <w:kern w:val="0"/>
                <w:szCs w:val="21"/>
              </w:rPr>
            </w:pP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人均城镇工矿用地</w:t>
            </w:r>
          </w:p>
        </w:tc>
        <w:tc>
          <w:tcPr>
            <w:tcW w:w="1134" w:type="dxa"/>
            <w:shd w:val="clear" w:color="auto" w:fill="auto"/>
            <w:vAlign w:val="center"/>
          </w:tcPr>
          <w:p>
            <w:pPr>
              <w:widowControl/>
              <w:jc w:val="center"/>
              <w:rPr>
                <w:rFonts w:hint="eastAsia" w:eastAsia="仿宋"/>
                <w:kern w:val="0"/>
                <w:szCs w:val="21"/>
                <w:lang w:eastAsia="zh-CN"/>
              </w:rPr>
            </w:pPr>
            <w:r>
              <w:rPr>
                <w:rFonts w:hint="eastAsia" w:eastAsia="仿宋"/>
                <w:b w:val="0"/>
                <w:bCs/>
                <w:color w:val="000000"/>
                <w:szCs w:val="21"/>
                <w:highlight w:val="none"/>
                <w:lang w:val="en-US" w:eastAsia="zh-CN"/>
              </w:rPr>
              <w:t>284.3</w:t>
            </w:r>
          </w:p>
        </w:tc>
        <w:tc>
          <w:tcPr>
            <w:tcW w:w="1560" w:type="dxa"/>
            <w:gridSpan w:val="2"/>
            <w:vAlign w:val="center"/>
          </w:tcPr>
          <w:p>
            <w:pPr>
              <w:jc w:val="center"/>
              <w:rPr>
                <w:color w:val="000000"/>
                <w:szCs w:val="21"/>
              </w:rPr>
            </w:pPr>
            <w:r>
              <w:rPr>
                <w:color w:val="000000"/>
                <w:szCs w:val="21"/>
              </w:rPr>
              <w:t>52.0</w:t>
            </w:r>
          </w:p>
        </w:tc>
        <w:tc>
          <w:tcPr>
            <w:tcW w:w="1585" w:type="dxa"/>
            <w:shd w:val="clear" w:color="auto" w:fill="auto"/>
            <w:vAlign w:val="center"/>
          </w:tcPr>
          <w:p>
            <w:pPr>
              <w:jc w:val="center"/>
              <w:rPr>
                <w:color w:val="000000"/>
                <w:szCs w:val="21"/>
              </w:rPr>
            </w:pPr>
            <w:r>
              <w:rPr>
                <w:color w:val="000000"/>
                <w:szCs w:val="21"/>
              </w:rPr>
              <w:t>108.0</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bl>
    <w:p>
      <w:pPr>
        <w:ind w:firstLine="420" w:firstLineChars="200"/>
        <w:rPr>
          <w:rFonts w:eastAsia="仿宋_GB2312"/>
          <w:kern w:val="0"/>
          <w:sz w:val="28"/>
          <w:szCs w:val="28"/>
        </w:rPr>
      </w:pPr>
      <w:r>
        <w:rPr>
          <w:rFonts w:eastAsia="仿宋"/>
          <w:szCs w:val="21"/>
        </w:rPr>
        <w:t>备注：</w:t>
      </w:r>
      <w:r>
        <w:rPr>
          <w:rFonts w:hint="eastAsia" w:eastAsia="仿宋"/>
          <w:szCs w:val="21"/>
        </w:rPr>
        <w:t>表中新增建设用地、建设占用农用地、建设占用耕地、土地整治补充耕地规模为2015-2020年指标，其他调整指标均为调整后2020年指标</w:t>
      </w:r>
      <w:r>
        <w:rPr>
          <w:rFonts w:eastAsia="仿宋"/>
          <w:szCs w:val="21"/>
        </w:rPr>
        <w:t>。</w:t>
      </w:r>
    </w:p>
    <w:p>
      <w:pPr>
        <w:ind w:firstLine="560" w:firstLineChars="200"/>
        <w:rPr>
          <w:rFonts w:eastAsia="仿宋_GB2312"/>
          <w:kern w:val="0"/>
          <w:sz w:val="28"/>
          <w:szCs w:val="28"/>
        </w:rPr>
      </w:pPr>
      <w:r>
        <w:rPr>
          <w:rFonts w:eastAsia="仿宋_GB2312"/>
          <w:kern w:val="0"/>
          <w:sz w:val="28"/>
          <w:szCs w:val="28"/>
        </w:rPr>
        <w:br w:type="page"/>
      </w:r>
    </w:p>
    <w:p>
      <w:pPr>
        <w:pStyle w:val="4"/>
        <w:numPr>
          <w:ilvl w:val="0"/>
          <w:numId w:val="22"/>
        </w:numPr>
        <w:spacing w:before="0" w:after="0" w:line="240" w:lineRule="auto"/>
        <w:jc w:val="left"/>
        <w:rPr>
          <w:rFonts w:eastAsia="黑体"/>
          <w:b w:val="0"/>
          <w:sz w:val="28"/>
          <w:szCs w:val="28"/>
        </w:rPr>
      </w:pPr>
      <w:bookmarkStart w:id="66" w:name="_Toc241127616"/>
      <w:bookmarkStart w:id="67" w:name="_Toc241640257"/>
      <w:bookmarkStart w:id="68" w:name="_Toc243966555"/>
      <w:bookmarkStart w:id="69" w:name="_Toc243121887"/>
      <w:bookmarkStart w:id="70" w:name="_Toc258513431"/>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bookmarkEnd w:id="66"/>
      <w:bookmarkEnd w:id="67"/>
      <w:bookmarkEnd w:id="68"/>
      <w:bookmarkEnd w:id="69"/>
      <w:r>
        <w:rPr>
          <w:rFonts w:hint="eastAsia" w:eastAsia="黑体"/>
          <w:b w:val="0"/>
          <w:sz w:val="28"/>
          <w:szCs w:val="28"/>
        </w:rPr>
        <w:t>南山城镇</w:t>
      </w:r>
      <w:r>
        <w:rPr>
          <w:rFonts w:eastAsia="黑体"/>
          <w:b w:val="0"/>
          <w:sz w:val="28"/>
          <w:szCs w:val="28"/>
        </w:rPr>
        <w:t>土地利用结构调整表</w:t>
      </w:r>
      <w:bookmarkEnd w:id="70"/>
    </w:p>
    <w:p>
      <w:pPr>
        <w:wordWrap w:val="0"/>
        <w:ind w:firstLine="420" w:firstLineChars="200"/>
        <w:jc w:val="right"/>
        <w:rPr>
          <w:rFonts w:eastAsia="仿宋"/>
          <w:szCs w:val="21"/>
        </w:rPr>
      </w:pPr>
      <w:r>
        <w:rPr>
          <w:rFonts w:eastAsia="仿宋"/>
          <w:szCs w:val="21"/>
        </w:rPr>
        <w:t>单位：公顷，%</w:t>
      </w:r>
    </w:p>
    <w:tbl>
      <w:tblPr>
        <w:tblStyle w:val="26"/>
        <w:tblW w:w="8640" w:type="dxa"/>
        <w:tblInd w:w="91" w:type="dxa"/>
        <w:tblLayout w:type="fixed"/>
        <w:tblCellMar>
          <w:top w:w="0" w:type="dxa"/>
          <w:left w:w="108" w:type="dxa"/>
          <w:bottom w:w="0" w:type="dxa"/>
          <w:right w:w="108" w:type="dxa"/>
        </w:tblCellMar>
      </w:tblPr>
      <w:tblGrid>
        <w:gridCol w:w="1080"/>
        <w:gridCol w:w="1080"/>
        <w:gridCol w:w="1080"/>
        <w:gridCol w:w="1080"/>
        <w:gridCol w:w="1080"/>
        <w:gridCol w:w="1080"/>
        <w:gridCol w:w="1080"/>
        <w:gridCol w:w="1080"/>
      </w:tblGrid>
      <w:tr>
        <w:tblPrEx>
          <w:tblLayout w:type="fixed"/>
          <w:tblCellMar>
            <w:top w:w="0" w:type="dxa"/>
            <w:left w:w="108" w:type="dxa"/>
            <w:bottom w:w="0" w:type="dxa"/>
            <w:right w:w="108" w:type="dxa"/>
          </w:tblCellMar>
        </w:tblPrEx>
        <w:trPr>
          <w:trHeight w:val="285" w:hRule="atLeast"/>
        </w:trPr>
        <w:tc>
          <w:tcPr>
            <w:tcW w:w="3240" w:type="dxa"/>
            <w:gridSpan w:val="3"/>
            <w:vMerge w:val="restart"/>
            <w:tcBorders>
              <w:top w:val="double" w:color="auto" w:sz="6"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地</w:t>
            </w:r>
            <w:r>
              <w:rPr>
                <w:rFonts w:eastAsia="仿宋"/>
                <w:b/>
                <w:bCs/>
                <w:color w:val="000000"/>
                <w:kern w:val="0"/>
                <w:szCs w:val="21"/>
              </w:rPr>
              <w:t xml:space="preserve">    </w:t>
            </w:r>
            <w:r>
              <w:rPr>
                <w:rFonts w:hint="eastAsia" w:ascii="仿宋" w:hAnsi="仿宋" w:eastAsia="仿宋" w:cs="宋体"/>
                <w:b/>
                <w:bCs/>
                <w:color w:val="000000"/>
                <w:kern w:val="0"/>
                <w:szCs w:val="21"/>
              </w:rPr>
              <w:t>类</w:t>
            </w:r>
          </w:p>
        </w:tc>
        <w:tc>
          <w:tcPr>
            <w:tcW w:w="2160" w:type="dxa"/>
            <w:gridSpan w:val="2"/>
            <w:tcBorders>
              <w:top w:val="double" w:color="auto" w:sz="6" w:space="0"/>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Cs w:val="21"/>
              </w:rPr>
            </w:pPr>
            <w:r>
              <w:rPr>
                <w:b/>
                <w:bCs/>
                <w:color w:val="000000"/>
                <w:kern w:val="0"/>
                <w:szCs w:val="21"/>
              </w:rPr>
              <w:t>2014</w:t>
            </w:r>
            <w:r>
              <w:rPr>
                <w:rFonts w:hint="eastAsia" w:ascii="仿宋" w:hAnsi="仿宋" w:eastAsia="仿宋"/>
                <w:b/>
                <w:bCs/>
                <w:color w:val="000000"/>
                <w:kern w:val="0"/>
                <w:szCs w:val="21"/>
              </w:rPr>
              <w:t>年</w:t>
            </w:r>
          </w:p>
        </w:tc>
        <w:tc>
          <w:tcPr>
            <w:tcW w:w="2160" w:type="dxa"/>
            <w:gridSpan w:val="2"/>
            <w:tcBorders>
              <w:top w:val="double" w:color="auto" w:sz="6"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调整后</w:t>
            </w:r>
            <w:r>
              <w:rPr>
                <w:rFonts w:eastAsia="仿宋"/>
                <w:b/>
                <w:bCs/>
                <w:color w:val="000000"/>
                <w:kern w:val="0"/>
                <w:szCs w:val="21"/>
              </w:rPr>
              <w:t>2020</w:t>
            </w:r>
            <w:r>
              <w:rPr>
                <w:rFonts w:hint="eastAsia" w:ascii="仿宋" w:hAnsi="仿宋" w:eastAsia="仿宋" w:cs="宋体"/>
                <w:b/>
                <w:bCs/>
                <w:color w:val="000000"/>
                <w:kern w:val="0"/>
                <w:szCs w:val="21"/>
              </w:rPr>
              <w:t>年</w:t>
            </w:r>
          </w:p>
        </w:tc>
        <w:tc>
          <w:tcPr>
            <w:tcW w:w="1080" w:type="dxa"/>
            <w:vMerge w:val="restart"/>
            <w:tcBorders>
              <w:top w:val="double" w:color="auto" w:sz="6" w:space="0"/>
              <w:left w:val="single" w:color="auto" w:sz="4" w:space="0"/>
              <w:bottom w:val="single" w:color="auto" w:sz="4" w:space="0"/>
              <w:right w:val="nil"/>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规划期内增减</w:t>
            </w:r>
          </w:p>
        </w:tc>
      </w:tr>
      <w:tr>
        <w:tblPrEx>
          <w:tblLayout w:type="fixed"/>
          <w:tblCellMar>
            <w:top w:w="0" w:type="dxa"/>
            <w:left w:w="108" w:type="dxa"/>
            <w:bottom w:w="0" w:type="dxa"/>
            <w:right w:w="108" w:type="dxa"/>
          </w:tblCellMar>
        </w:tblPrEx>
        <w:trPr>
          <w:trHeight w:val="270" w:hRule="atLeast"/>
        </w:trPr>
        <w:tc>
          <w:tcPr>
            <w:tcW w:w="3240" w:type="dxa"/>
            <w:gridSpan w:val="3"/>
            <w:vMerge w:val="continue"/>
            <w:tcBorders>
              <w:top w:val="double" w:color="auto" w:sz="6" w:space="0"/>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面积</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比重</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面积</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比重</w:t>
            </w:r>
          </w:p>
        </w:tc>
        <w:tc>
          <w:tcPr>
            <w:tcW w:w="1080" w:type="dxa"/>
            <w:vMerge w:val="continue"/>
            <w:tcBorders>
              <w:top w:val="double" w:color="auto" w:sz="6" w:space="0"/>
              <w:left w:val="single" w:color="auto" w:sz="4" w:space="0"/>
              <w:bottom w:val="single" w:color="auto" w:sz="4" w:space="0"/>
              <w:right w:val="nil"/>
            </w:tcBorders>
            <w:vAlign w:val="center"/>
          </w:tcPr>
          <w:p>
            <w:pPr>
              <w:widowControl/>
              <w:jc w:val="left"/>
              <w:rPr>
                <w:rFonts w:ascii="仿宋" w:hAnsi="仿宋" w:eastAsia="仿宋" w:cs="宋体"/>
                <w:b/>
                <w:bCs/>
                <w:color w:val="000000"/>
                <w:kern w:val="0"/>
                <w:szCs w:val="21"/>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土地总面积</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42688.3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100.00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42688.3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100.00 </w:t>
            </w:r>
          </w:p>
        </w:tc>
        <w:tc>
          <w:tcPr>
            <w:tcW w:w="1080" w:type="dxa"/>
            <w:tcBorders>
              <w:top w:val="nil"/>
              <w:left w:val="nil"/>
              <w:bottom w:val="single" w:color="auto" w:sz="4" w:space="0"/>
              <w:right w:val="nil"/>
            </w:tcBorders>
            <w:shd w:val="clear" w:color="auto" w:fill="auto"/>
            <w:vAlign w:val="center"/>
          </w:tcPr>
          <w:p>
            <w:pPr>
              <w:jc w:val="center"/>
              <w:rPr>
                <w:rFonts w:ascii="宋体" w:hAnsi="宋体" w:cs="宋体"/>
                <w:b/>
                <w:bCs/>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1080" w:type="dxa"/>
            <w:vMerge w:val="restar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农用地</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合计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40735.9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95.43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40924.1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95.87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188.2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耕地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9767.2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22.88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8965.7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21.00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-801.5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园地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62.7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0.15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82.4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0.19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19.7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林地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30532.8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71.52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30688.7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71.89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155.9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牧草地</w:t>
            </w:r>
          </w:p>
        </w:tc>
        <w:tc>
          <w:tcPr>
            <w:tcW w:w="1080" w:type="dxa"/>
            <w:tcBorders>
              <w:top w:val="nil"/>
              <w:left w:val="nil"/>
              <w:bottom w:val="single" w:color="auto" w:sz="4" w:space="0"/>
              <w:right w:val="single" w:color="auto" w:sz="4" w:space="0"/>
            </w:tcBorders>
            <w:shd w:val="clear" w:color="auto" w:fill="auto"/>
            <w:vAlign w:val="center"/>
          </w:tcPr>
          <w:p>
            <w:pPr>
              <w:jc w:val="center"/>
              <w:rPr>
                <w:color w:val="000000"/>
                <w:kern w:val="0"/>
                <w:sz w:val="21"/>
                <w:szCs w:val="21"/>
              </w:rPr>
            </w:pPr>
          </w:p>
        </w:tc>
        <w:tc>
          <w:tcPr>
            <w:tcW w:w="1080" w:type="dxa"/>
            <w:tcBorders>
              <w:top w:val="nil"/>
              <w:left w:val="nil"/>
              <w:bottom w:val="single" w:color="auto" w:sz="4" w:space="0"/>
              <w:right w:val="single" w:color="auto" w:sz="4" w:space="0"/>
            </w:tcBorders>
            <w:shd w:val="clear" w:color="auto" w:fill="auto"/>
            <w:vAlign w:val="center"/>
          </w:tcPr>
          <w:p>
            <w:pPr>
              <w:jc w:val="center"/>
              <w:rPr>
                <w:color w:val="000000"/>
                <w:kern w:val="0"/>
                <w:sz w:val="21"/>
                <w:szCs w:val="21"/>
              </w:rPr>
            </w:pP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582.8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1.37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582.8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其他农用地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373.2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0.87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604.5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1.42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231.3 </w:t>
            </w:r>
          </w:p>
        </w:tc>
      </w:tr>
      <w:tr>
        <w:tblPrEx>
          <w:tblLayout w:type="fixed"/>
          <w:tblCellMar>
            <w:top w:w="0" w:type="dxa"/>
            <w:left w:w="108" w:type="dxa"/>
            <w:bottom w:w="0" w:type="dxa"/>
            <w:right w:w="108" w:type="dxa"/>
          </w:tblCellMar>
        </w:tblPrEx>
        <w:trPr>
          <w:trHeight w:val="270" w:hRule="atLeast"/>
        </w:trPr>
        <w:tc>
          <w:tcPr>
            <w:tcW w:w="1080" w:type="dxa"/>
            <w:vMerge w:val="restar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建设用地</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合计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1038.6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2.43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1011.6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2.37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-27.0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城乡建设用地</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小计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746.0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1.75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553.0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1.30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-193.0 </w:t>
            </w:r>
          </w:p>
        </w:tc>
      </w:tr>
      <w:tr>
        <w:tblPrEx>
          <w:tblLayout w:type="fixed"/>
          <w:tblCellMar>
            <w:top w:w="0" w:type="dxa"/>
            <w:left w:w="108" w:type="dxa"/>
            <w:bottom w:w="0" w:type="dxa"/>
            <w:right w:w="108" w:type="dxa"/>
          </w:tblCellMar>
        </w:tblPrEx>
        <w:trPr>
          <w:trHeight w:val="51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城镇工矿用地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95.2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0.22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88.0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0.21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-7.2 </w:t>
            </w:r>
          </w:p>
        </w:tc>
      </w:tr>
      <w:tr>
        <w:tblPrEx>
          <w:tblLayout w:type="fixed"/>
          <w:tblCellMar>
            <w:top w:w="0" w:type="dxa"/>
            <w:left w:w="108" w:type="dxa"/>
            <w:bottom w:w="0" w:type="dxa"/>
            <w:right w:w="108" w:type="dxa"/>
          </w:tblCellMar>
        </w:tblPrEx>
        <w:trPr>
          <w:trHeight w:val="51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农村居民点用地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650.8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1.52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465.0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1.09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-185.8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交通水利及其他建设用地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292.6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0.69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458.6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1.07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166.0 </w:t>
            </w:r>
          </w:p>
        </w:tc>
      </w:tr>
      <w:tr>
        <w:tblPrEx>
          <w:tblLayout w:type="fixed"/>
          <w:tblCellMar>
            <w:top w:w="0" w:type="dxa"/>
            <w:left w:w="108" w:type="dxa"/>
            <w:bottom w:w="0" w:type="dxa"/>
            <w:right w:w="108" w:type="dxa"/>
          </w:tblCellMar>
        </w:tblPrEx>
        <w:trPr>
          <w:trHeight w:val="270" w:hRule="atLeast"/>
        </w:trPr>
        <w:tc>
          <w:tcPr>
            <w:tcW w:w="1080" w:type="dxa"/>
            <w:vMerge w:val="restart"/>
            <w:tcBorders>
              <w:top w:val="nil"/>
              <w:left w:val="nil"/>
              <w:bottom w:val="double" w:color="000000" w:sz="6"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其他土地</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合计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913.8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2.14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752.6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1.76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-161.2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double" w:color="000000" w:sz="6"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水域</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510.6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1.20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510.6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1.20 </w:t>
            </w:r>
          </w:p>
        </w:tc>
        <w:tc>
          <w:tcPr>
            <w:tcW w:w="1080" w:type="dxa"/>
            <w:tcBorders>
              <w:top w:val="nil"/>
              <w:left w:val="nil"/>
              <w:bottom w:val="single" w:color="auto" w:sz="4" w:space="0"/>
              <w:right w:val="nil"/>
            </w:tcBorders>
            <w:shd w:val="clear" w:color="auto" w:fill="auto"/>
            <w:vAlign w:val="center"/>
          </w:tcPr>
          <w:p>
            <w:pPr>
              <w:jc w:val="center"/>
              <w:rPr>
                <w:color w:val="000000"/>
                <w:kern w:val="0"/>
                <w:sz w:val="21"/>
                <w:szCs w:val="21"/>
              </w:rPr>
            </w:p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nil"/>
              <w:bottom w:val="double" w:color="000000" w:sz="6"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double" w:color="auto" w:sz="6"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自然保留地</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403.2 </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0.94 </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242.0 </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0.57 </w:t>
            </w:r>
          </w:p>
        </w:tc>
        <w:tc>
          <w:tcPr>
            <w:tcW w:w="1080" w:type="dxa"/>
            <w:tcBorders>
              <w:top w:val="single" w:color="auto" w:sz="4" w:space="0"/>
              <w:left w:val="nil"/>
              <w:bottom w:val="double" w:color="auto" w:sz="6"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-161.2 </w:t>
            </w:r>
          </w:p>
        </w:tc>
      </w:tr>
    </w:tbl>
    <w:p>
      <w:pPr>
        <w:rPr>
          <w:rFonts w:eastAsia="黑体"/>
          <w:b/>
          <w:sz w:val="30"/>
          <w:szCs w:val="30"/>
        </w:rPr>
      </w:pPr>
    </w:p>
    <w:p>
      <w:pPr>
        <w:rPr>
          <w:rFonts w:eastAsia="黑体"/>
          <w:b/>
          <w:sz w:val="30"/>
          <w:szCs w:val="30"/>
        </w:rPr>
        <w:sectPr>
          <w:pgSz w:w="11906" w:h="16838"/>
          <w:pgMar w:top="1418" w:right="1418" w:bottom="1418" w:left="1531" w:header="851" w:footer="992" w:gutter="227"/>
          <w:cols w:space="425" w:num="1"/>
          <w:docGrid w:type="lines" w:linePitch="312" w:charSpace="0"/>
        </w:sectPr>
      </w:pPr>
    </w:p>
    <w:p>
      <w:pPr>
        <w:pStyle w:val="4"/>
        <w:numPr>
          <w:ilvl w:val="0"/>
          <w:numId w:val="22"/>
        </w:numPr>
        <w:spacing w:before="0" w:after="0" w:line="240" w:lineRule="auto"/>
        <w:jc w:val="left"/>
        <w:rPr>
          <w:rFonts w:eastAsia="黑体"/>
          <w:b w:val="0"/>
          <w:sz w:val="28"/>
          <w:szCs w:val="28"/>
        </w:rPr>
      </w:pPr>
      <w:r>
        <w:rPr>
          <w:rFonts w:eastAsia="黑体"/>
          <w:b w:val="0"/>
          <w:sz w:val="28"/>
          <w:szCs w:val="28"/>
        </w:rPr>
        <w:t xml:space="preserve">  </w:t>
      </w:r>
      <w:r>
        <w:rPr>
          <w:rFonts w:hint="eastAsia" w:eastAsia="黑体"/>
          <w:b w:val="0"/>
          <w:sz w:val="28"/>
          <w:szCs w:val="28"/>
        </w:rPr>
        <w:t xml:space="preserve">                        南山城镇土地利用主要调控指标分解落实</w:t>
      </w:r>
      <w:r>
        <w:rPr>
          <w:rFonts w:eastAsia="黑体"/>
          <w:b w:val="0"/>
          <w:sz w:val="28"/>
          <w:szCs w:val="28"/>
        </w:rPr>
        <w:t>表</w:t>
      </w:r>
    </w:p>
    <w:p>
      <w:pPr>
        <w:wordWrap w:val="0"/>
        <w:ind w:firstLine="420" w:firstLineChars="200"/>
        <w:jc w:val="right"/>
        <w:rPr>
          <w:rFonts w:eastAsia="仿宋"/>
          <w:szCs w:val="21"/>
        </w:rPr>
      </w:pPr>
      <w:r>
        <w:rPr>
          <w:rFonts w:eastAsia="仿宋"/>
          <w:szCs w:val="21"/>
        </w:rPr>
        <w:t>单位：公顷</w:t>
      </w:r>
      <w:r>
        <w:rPr>
          <w:rFonts w:hint="eastAsia" w:eastAsia="仿宋"/>
          <w:szCs w:val="21"/>
        </w:rPr>
        <w:t>、平方米/人</w:t>
      </w:r>
    </w:p>
    <w:tbl>
      <w:tblPr>
        <w:tblStyle w:val="26"/>
        <w:tblW w:w="14218" w:type="dxa"/>
        <w:jc w:val="center"/>
        <w:tblInd w:w="0" w:type="dxa"/>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914"/>
        <w:gridCol w:w="1076"/>
        <w:gridCol w:w="843"/>
        <w:gridCol w:w="1005"/>
        <w:gridCol w:w="985"/>
        <w:gridCol w:w="985"/>
        <w:gridCol w:w="985"/>
        <w:gridCol w:w="951"/>
        <w:gridCol w:w="950"/>
        <w:gridCol w:w="842"/>
        <w:gridCol w:w="739"/>
        <w:gridCol w:w="771"/>
        <w:gridCol w:w="950"/>
        <w:gridCol w:w="953"/>
      </w:tblGrid>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blHeader/>
          <w:jc w:val="center"/>
        </w:trPr>
        <w:tc>
          <w:tcPr>
            <w:tcW w:w="1269" w:type="dxa"/>
            <w:shd w:val="clear" w:color="auto" w:fill="auto"/>
            <w:vAlign w:val="center"/>
          </w:tcPr>
          <w:p>
            <w:pPr>
              <w:widowControl/>
              <w:jc w:val="center"/>
              <w:rPr>
                <w:b/>
                <w:bCs/>
                <w:color w:val="000000"/>
                <w:kern w:val="0"/>
                <w:szCs w:val="21"/>
              </w:rPr>
            </w:pPr>
            <w:bookmarkStart w:id="71" w:name="RANGE!H4:V19"/>
            <w:r>
              <w:rPr>
                <w:rFonts w:hint="eastAsia" w:ascii="仿宋" w:hAnsi="仿宋" w:eastAsia="仿宋"/>
                <w:b/>
                <w:bCs/>
                <w:color w:val="000000"/>
                <w:kern w:val="0"/>
                <w:szCs w:val="21"/>
              </w:rPr>
              <w:t>行政区域</w:t>
            </w:r>
            <w:bookmarkEnd w:id="71"/>
          </w:p>
        </w:tc>
        <w:tc>
          <w:tcPr>
            <w:tcW w:w="914"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耕地保有量</w:t>
            </w:r>
          </w:p>
        </w:tc>
        <w:tc>
          <w:tcPr>
            <w:tcW w:w="1076"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基本农田保护面积</w:t>
            </w:r>
          </w:p>
        </w:tc>
        <w:tc>
          <w:tcPr>
            <w:tcW w:w="843"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园地面积</w:t>
            </w:r>
          </w:p>
        </w:tc>
        <w:tc>
          <w:tcPr>
            <w:tcW w:w="1005"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林地面积</w:t>
            </w:r>
          </w:p>
        </w:tc>
        <w:tc>
          <w:tcPr>
            <w:tcW w:w="985"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牧草地面积</w:t>
            </w:r>
          </w:p>
        </w:tc>
        <w:tc>
          <w:tcPr>
            <w:tcW w:w="985"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建设用地总规模</w:t>
            </w:r>
          </w:p>
        </w:tc>
        <w:tc>
          <w:tcPr>
            <w:tcW w:w="985" w:type="dxa"/>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城乡建设用地规模</w:t>
            </w:r>
          </w:p>
        </w:tc>
        <w:tc>
          <w:tcPr>
            <w:tcW w:w="951" w:type="dxa"/>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城镇工矿用地规模</w:t>
            </w:r>
          </w:p>
        </w:tc>
        <w:tc>
          <w:tcPr>
            <w:tcW w:w="950" w:type="dxa"/>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交通、水利及其他建设用地规模</w:t>
            </w:r>
          </w:p>
        </w:tc>
        <w:tc>
          <w:tcPr>
            <w:tcW w:w="842"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新增建设用地总量</w:t>
            </w:r>
          </w:p>
        </w:tc>
        <w:tc>
          <w:tcPr>
            <w:tcW w:w="739"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建设占用农用地规模</w:t>
            </w:r>
          </w:p>
        </w:tc>
        <w:tc>
          <w:tcPr>
            <w:tcW w:w="771"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建设占用耕地规模</w:t>
            </w:r>
          </w:p>
        </w:tc>
        <w:tc>
          <w:tcPr>
            <w:tcW w:w="950"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土地整治补充耕地规模义务量</w:t>
            </w:r>
          </w:p>
        </w:tc>
        <w:tc>
          <w:tcPr>
            <w:tcW w:w="953"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人均城镇工矿用地</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9" w:type="dxa"/>
            <w:shd w:val="clear" w:color="auto" w:fill="auto"/>
            <w:vAlign w:val="center"/>
          </w:tcPr>
          <w:p>
            <w:pPr>
              <w:widowControl/>
              <w:jc w:val="center"/>
              <w:rPr>
                <w:b/>
                <w:color w:val="000000"/>
                <w:kern w:val="0"/>
                <w:szCs w:val="21"/>
              </w:rPr>
            </w:pPr>
            <w:r>
              <w:rPr>
                <w:rFonts w:hint="eastAsia" w:ascii="仿宋" w:hAnsi="仿宋" w:eastAsia="仿宋"/>
                <w:b/>
                <w:color w:val="000000"/>
                <w:kern w:val="0"/>
                <w:szCs w:val="21"/>
              </w:rPr>
              <w:t>南山城镇</w:t>
            </w:r>
          </w:p>
        </w:tc>
        <w:tc>
          <w:tcPr>
            <w:tcW w:w="914"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8965.7</w:t>
            </w:r>
          </w:p>
        </w:tc>
        <w:tc>
          <w:tcPr>
            <w:tcW w:w="1076"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6625.4</w:t>
            </w:r>
          </w:p>
        </w:tc>
        <w:tc>
          <w:tcPr>
            <w:tcW w:w="843"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82.4</w:t>
            </w:r>
          </w:p>
        </w:tc>
        <w:tc>
          <w:tcPr>
            <w:tcW w:w="1005"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30688.7</w:t>
            </w:r>
          </w:p>
        </w:tc>
        <w:tc>
          <w:tcPr>
            <w:tcW w:w="985"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582.8</w:t>
            </w:r>
          </w:p>
        </w:tc>
        <w:tc>
          <w:tcPr>
            <w:tcW w:w="985"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1011.6</w:t>
            </w:r>
          </w:p>
        </w:tc>
        <w:tc>
          <w:tcPr>
            <w:tcW w:w="985"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553.0</w:t>
            </w:r>
          </w:p>
        </w:tc>
        <w:tc>
          <w:tcPr>
            <w:tcW w:w="951"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88.0</w:t>
            </w:r>
          </w:p>
        </w:tc>
        <w:tc>
          <w:tcPr>
            <w:tcW w:w="950"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458.6</w:t>
            </w:r>
          </w:p>
        </w:tc>
        <w:tc>
          <w:tcPr>
            <w:tcW w:w="842"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10.0</w:t>
            </w:r>
          </w:p>
        </w:tc>
        <w:tc>
          <w:tcPr>
            <w:tcW w:w="739"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4.0</w:t>
            </w:r>
          </w:p>
        </w:tc>
        <w:tc>
          <w:tcPr>
            <w:tcW w:w="771"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3.0</w:t>
            </w:r>
          </w:p>
        </w:tc>
        <w:tc>
          <w:tcPr>
            <w:tcW w:w="950"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144.9</w:t>
            </w:r>
          </w:p>
        </w:tc>
        <w:tc>
          <w:tcPr>
            <w:tcW w:w="953"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108.0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大北岔村</w:t>
            </w:r>
          </w:p>
        </w:tc>
        <w:tc>
          <w:tcPr>
            <w:tcW w:w="91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213.4</w:t>
            </w:r>
          </w:p>
        </w:tc>
        <w:tc>
          <w:tcPr>
            <w:tcW w:w="1076"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173.9</w:t>
            </w:r>
          </w:p>
        </w:tc>
        <w:tc>
          <w:tcPr>
            <w:tcW w:w="843" w:type="dxa"/>
            <w:shd w:val="clear" w:color="auto" w:fill="auto"/>
            <w:vAlign w:val="bottom"/>
          </w:tcPr>
          <w:p>
            <w:pPr>
              <w:jc w:val="center"/>
              <w:rPr>
                <w:rFonts w:ascii="宋体" w:hAnsi="宋体" w:cs="宋体"/>
                <w:color w:val="000000"/>
                <w:sz w:val="21"/>
                <w:szCs w:val="21"/>
              </w:rPr>
            </w:pPr>
          </w:p>
        </w:tc>
        <w:tc>
          <w:tcPr>
            <w:tcW w:w="100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2683.4</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13.8</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30.0</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20.4</w:t>
            </w:r>
          </w:p>
        </w:tc>
        <w:tc>
          <w:tcPr>
            <w:tcW w:w="95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0.6</w:t>
            </w:r>
          </w:p>
        </w:tc>
        <w:tc>
          <w:tcPr>
            <w:tcW w:w="95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9.6</w:t>
            </w:r>
          </w:p>
        </w:tc>
        <w:tc>
          <w:tcPr>
            <w:tcW w:w="842" w:type="dxa"/>
            <w:shd w:val="clear" w:color="auto" w:fill="auto"/>
            <w:vAlign w:val="bottom"/>
          </w:tcPr>
          <w:p>
            <w:pPr>
              <w:jc w:val="center"/>
              <w:rPr>
                <w:rFonts w:ascii="宋体" w:hAnsi="宋体" w:cs="宋体"/>
                <w:color w:val="000000"/>
                <w:sz w:val="21"/>
                <w:szCs w:val="21"/>
              </w:rPr>
            </w:pPr>
          </w:p>
        </w:tc>
        <w:tc>
          <w:tcPr>
            <w:tcW w:w="739" w:type="dxa"/>
            <w:shd w:val="clear" w:color="auto" w:fill="auto"/>
            <w:vAlign w:val="bottom"/>
          </w:tcPr>
          <w:p>
            <w:pPr>
              <w:jc w:val="center"/>
              <w:rPr>
                <w:rFonts w:ascii="宋体" w:hAnsi="宋体" w:cs="宋体"/>
                <w:color w:val="000000"/>
                <w:sz w:val="21"/>
                <w:szCs w:val="21"/>
              </w:rPr>
            </w:pPr>
          </w:p>
        </w:tc>
        <w:tc>
          <w:tcPr>
            <w:tcW w:w="771" w:type="dxa"/>
            <w:shd w:val="clear" w:color="auto" w:fill="auto"/>
            <w:vAlign w:val="bottom"/>
          </w:tcPr>
          <w:p>
            <w:pPr>
              <w:jc w:val="center"/>
              <w:rPr>
                <w:rFonts w:ascii="宋体" w:hAnsi="宋体" w:cs="宋体"/>
                <w:color w:val="000000"/>
                <w:sz w:val="21"/>
                <w:szCs w:val="21"/>
              </w:rPr>
            </w:pPr>
          </w:p>
        </w:tc>
        <w:tc>
          <w:tcPr>
            <w:tcW w:w="950" w:type="dxa"/>
            <w:shd w:val="clear" w:color="auto" w:fill="auto"/>
            <w:vAlign w:val="bottom"/>
          </w:tcPr>
          <w:p>
            <w:pPr>
              <w:jc w:val="center"/>
              <w:rPr>
                <w:rFonts w:ascii="宋体" w:hAnsi="宋体" w:cs="宋体"/>
                <w:color w:val="000000"/>
                <w:sz w:val="21"/>
                <w:szCs w:val="21"/>
              </w:rPr>
            </w:pP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98.0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大枉沟村</w:t>
            </w:r>
          </w:p>
        </w:tc>
        <w:tc>
          <w:tcPr>
            <w:tcW w:w="91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127.4</w:t>
            </w:r>
          </w:p>
        </w:tc>
        <w:tc>
          <w:tcPr>
            <w:tcW w:w="1076"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85.0</w:t>
            </w:r>
          </w:p>
        </w:tc>
        <w:tc>
          <w:tcPr>
            <w:tcW w:w="843" w:type="dxa"/>
            <w:shd w:val="clear" w:color="auto" w:fill="auto"/>
            <w:vAlign w:val="bottom"/>
          </w:tcPr>
          <w:p>
            <w:pPr>
              <w:jc w:val="center"/>
              <w:rPr>
                <w:rFonts w:ascii="宋体" w:hAnsi="宋体" w:cs="宋体"/>
                <w:color w:val="000000"/>
                <w:sz w:val="21"/>
                <w:szCs w:val="21"/>
              </w:rPr>
            </w:pPr>
          </w:p>
        </w:tc>
        <w:tc>
          <w:tcPr>
            <w:tcW w:w="100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2391.9</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8.3</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65.1</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9.2</w:t>
            </w:r>
          </w:p>
        </w:tc>
        <w:tc>
          <w:tcPr>
            <w:tcW w:w="95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w:t>
            </w:r>
          </w:p>
        </w:tc>
        <w:tc>
          <w:tcPr>
            <w:tcW w:w="95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55.9</w:t>
            </w:r>
          </w:p>
        </w:tc>
        <w:tc>
          <w:tcPr>
            <w:tcW w:w="842" w:type="dxa"/>
            <w:shd w:val="clear" w:color="auto" w:fill="auto"/>
            <w:vAlign w:val="bottom"/>
          </w:tcPr>
          <w:p>
            <w:pPr>
              <w:jc w:val="center"/>
              <w:rPr>
                <w:rFonts w:ascii="宋体" w:hAnsi="宋体" w:cs="宋体"/>
                <w:color w:val="000000"/>
                <w:sz w:val="21"/>
                <w:szCs w:val="21"/>
              </w:rPr>
            </w:pPr>
          </w:p>
        </w:tc>
        <w:tc>
          <w:tcPr>
            <w:tcW w:w="739" w:type="dxa"/>
            <w:shd w:val="clear" w:color="auto" w:fill="auto"/>
            <w:vAlign w:val="bottom"/>
          </w:tcPr>
          <w:p>
            <w:pPr>
              <w:jc w:val="center"/>
              <w:rPr>
                <w:rFonts w:ascii="宋体" w:hAnsi="宋体" w:cs="宋体"/>
                <w:color w:val="000000"/>
                <w:sz w:val="21"/>
                <w:szCs w:val="21"/>
              </w:rPr>
            </w:pPr>
          </w:p>
        </w:tc>
        <w:tc>
          <w:tcPr>
            <w:tcW w:w="771" w:type="dxa"/>
            <w:shd w:val="clear" w:color="auto" w:fill="auto"/>
            <w:vAlign w:val="bottom"/>
          </w:tcPr>
          <w:p>
            <w:pPr>
              <w:jc w:val="center"/>
              <w:rPr>
                <w:rFonts w:ascii="宋体" w:hAnsi="宋体" w:cs="宋体"/>
                <w:color w:val="000000"/>
                <w:sz w:val="21"/>
                <w:szCs w:val="21"/>
              </w:rPr>
            </w:pPr>
          </w:p>
        </w:tc>
        <w:tc>
          <w:tcPr>
            <w:tcW w:w="95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21.2</w:t>
            </w: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104.0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大秧上堡村</w:t>
            </w:r>
          </w:p>
        </w:tc>
        <w:tc>
          <w:tcPr>
            <w:tcW w:w="91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403.4</w:t>
            </w:r>
          </w:p>
        </w:tc>
        <w:tc>
          <w:tcPr>
            <w:tcW w:w="1076"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340.6</w:t>
            </w:r>
          </w:p>
        </w:tc>
        <w:tc>
          <w:tcPr>
            <w:tcW w:w="843" w:type="dxa"/>
            <w:shd w:val="clear" w:color="auto" w:fill="auto"/>
            <w:vAlign w:val="bottom"/>
          </w:tcPr>
          <w:p>
            <w:pPr>
              <w:jc w:val="center"/>
              <w:rPr>
                <w:rFonts w:ascii="宋体" w:hAnsi="宋体" w:cs="宋体"/>
                <w:color w:val="000000"/>
                <w:sz w:val="21"/>
                <w:szCs w:val="21"/>
              </w:rPr>
            </w:pPr>
          </w:p>
        </w:tc>
        <w:tc>
          <w:tcPr>
            <w:tcW w:w="100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1005.7</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26.2</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27.0</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25.4</w:t>
            </w:r>
          </w:p>
        </w:tc>
        <w:tc>
          <w:tcPr>
            <w:tcW w:w="95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w:t>
            </w:r>
          </w:p>
        </w:tc>
        <w:tc>
          <w:tcPr>
            <w:tcW w:w="95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w:t>
            </w:r>
          </w:p>
        </w:tc>
        <w:tc>
          <w:tcPr>
            <w:tcW w:w="842" w:type="dxa"/>
            <w:shd w:val="clear" w:color="auto" w:fill="auto"/>
            <w:vAlign w:val="bottom"/>
          </w:tcPr>
          <w:p>
            <w:pPr>
              <w:jc w:val="center"/>
              <w:rPr>
                <w:rFonts w:ascii="宋体" w:hAnsi="宋体" w:cs="宋体"/>
                <w:color w:val="000000"/>
                <w:sz w:val="21"/>
                <w:szCs w:val="21"/>
              </w:rPr>
            </w:pPr>
          </w:p>
        </w:tc>
        <w:tc>
          <w:tcPr>
            <w:tcW w:w="739" w:type="dxa"/>
            <w:shd w:val="clear" w:color="auto" w:fill="auto"/>
            <w:vAlign w:val="bottom"/>
          </w:tcPr>
          <w:p>
            <w:pPr>
              <w:jc w:val="center"/>
              <w:rPr>
                <w:rFonts w:ascii="宋体" w:hAnsi="宋体" w:cs="宋体"/>
                <w:color w:val="000000"/>
                <w:sz w:val="21"/>
                <w:szCs w:val="21"/>
              </w:rPr>
            </w:pPr>
          </w:p>
        </w:tc>
        <w:tc>
          <w:tcPr>
            <w:tcW w:w="771" w:type="dxa"/>
            <w:shd w:val="clear" w:color="auto" w:fill="auto"/>
            <w:vAlign w:val="bottom"/>
          </w:tcPr>
          <w:p>
            <w:pPr>
              <w:jc w:val="center"/>
              <w:rPr>
                <w:rFonts w:ascii="宋体" w:hAnsi="宋体" w:cs="宋体"/>
                <w:color w:val="000000"/>
                <w:sz w:val="21"/>
                <w:szCs w:val="21"/>
              </w:rPr>
            </w:pPr>
          </w:p>
        </w:tc>
        <w:tc>
          <w:tcPr>
            <w:tcW w:w="95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6.5</w:t>
            </w: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108.0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东庙村</w:t>
            </w:r>
          </w:p>
        </w:tc>
        <w:tc>
          <w:tcPr>
            <w:tcW w:w="91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286.8</w:t>
            </w:r>
          </w:p>
        </w:tc>
        <w:tc>
          <w:tcPr>
            <w:tcW w:w="1076"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232.2</w:t>
            </w:r>
          </w:p>
        </w:tc>
        <w:tc>
          <w:tcPr>
            <w:tcW w:w="843" w:type="dxa"/>
            <w:shd w:val="clear" w:color="auto" w:fill="auto"/>
            <w:vAlign w:val="bottom"/>
          </w:tcPr>
          <w:p>
            <w:pPr>
              <w:jc w:val="center"/>
              <w:rPr>
                <w:rFonts w:ascii="宋体" w:hAnsi="宋体" w:cs="宋体"/>
                <w:color w:val="000000"/>
                <w:sz w:val="21"/>
                <w:szCs w:val="21"/>
              </w:rPr>
            </w:pPr>
          </w:p>
        </w:tc>
        <w:tc>
          <w:tcPr>
            <w:tcW w:w="100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1250.0</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18.6</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20.1</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0.1</w:t>
            </w:r>
          </w:p>
        </w:tc>
        <w:tc>
          <w:tcPr>
            <w:tcW w:w="951" w:type="dxa"/>
            <w:shd w:val="clear" w:color="auto" w:fill="auto"/>
            <w:vAlign w:val="bottom"/>
          </w:tcPr>
          <w:p>
            <w:pPr>
              <w:jc w:val="center"/>
              <w:rPr>
                <w:rFonts w:ascii="宋体" w:hAnsi="宋体" w:cs="宋体"/>
                <w:color w:val="000000"/>
                <w:sz w:val="21"/>
                <w:szCs w:val="21"/>
              </w:rPr>
            </w:pPr>
          </w:p>
        </w:tc>
        <w:tc>
          <w:tcPr>
            <w:tcW w:w="95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20.0</w:t>
            </w:r>
          </w:p>
        </w:tc>
        <w:tc>
          <w:tcPr>
            <w:tcW w:w="84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0.2</w:t>
            </w:r>
          </w:p>
        </w:tc>
        <w:tc>
          <w:tcPr>
            <w:tcW w:w="73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0.2</w:t>
            </w:r>
          </w:p>
        </w:tc>
        <w:tc>
          <w:tcPr>
            <w:tcW w:w="77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0.2</w:t>
            </w:r>
          </w:p>
        </w:tc>
        <w:tc>
          <w:tcPr>
            <w:tcW w:w="950" w:type="dxa"/>
            <w:shd w:val="clear" w:color="auto" w:fill="auto"/>
            <w:vAlign w:val="bottom"/>
          </w:tcPr>
          <w:p>
            <w:pPr>
              <w:jc w:val="center"/>
              <w:rPr>
                <w:rFonts w:ascii="宋体" w:hAnsi="宋体" w:cs="宋体"/>
                <w:color w:val="000000"/>
                <w:sz w:val="21"/>
                <w:szCs w:val="21"/>
              </w:rPr>
            </w:pPr>
          </w:p>
        </w:tc>
        <w:tc>
          <w:tcPr>
            <w:tcW w:w="953" w:type="dxa"/>
            <w:shd w:val="clear" w:color="auto" w:fill="auto"/>
            <w:vAlign w:val="bottom"/>
          </w:tcPr>
          <w:p>
            <w:pPr>
              <w:jc w:val="center"/>
              <w:rPr>
                <w:rFonts w:ascii="宋体" w:hAnsi="宋体" w:cs="宋体"/>
                <w:color w:val="000000"/>
                <w:sz w:val="21"/>
                <w:szCs w:val="21"/>
              </w:rPr>
            </w:pP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东五里堡村</w:t>
            </w:r>
          </w:p>
        </w:tc>
        <w:tc>
          <w:tcPr>
            <w:tcW w:w="91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367.7</w:t>
            </w:r>
          </w:p>
        </w:tc>
        <w:tc>
          <w:tcPr>
            <w:tcW w:w="1076"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295.4</w:t>
            </w:r>
          </w:p>
        </w:tc>
        <w:tc>
          <w:tcPr>
            <w:tcW w:w="843" w:type="dxa"/>
            <w:shd w:val="clear" w:color="auto" w:fill="auto"/>
            <w:vAlign w:val="bottom"/>
          </w:tcPr>
          <w:p>
            <w:pPr>
              <w:jc w:val="center"/>
              <w:rPr>
                <w:rFonts w:ascii="宋体" w:hAnsi="宋体" w:cs="宋体"/>
                <w:color w:val="000000"/>
                <w:sz w:val="21"/>
                <w:szCs w:val="21"/>
              </w:rPr>
            </w:pPr>
          </w:p>
        </w:tc>
        <w:tc>
          <w:tcPr>
            <w:tcW w:w="100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1055.5</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23.9</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55.4</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31.3</w:t>
            </w:r>
          </w:p>
        </w:tc>
        <w:tc>
          <w:tcPr>
            <w:tcW w:w="95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4.0</w:t>
            </w:r>
          </w:p>
        </w:tc>
        <w:tc>
          <w:tcPr>
            <w:tcW w:w="95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24.1</w:t>
            </w:r>
          </w:p>
        </w:tc>
        <w:tc>
          <w:tcPr>
            <w:tcW w:w="84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0.3</w:t>
            </w:r>
          </w:p>
        </w:tc>
        <w:tc>
          <w:tcPr>
            <w:tcW w:w="73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0.3</w:t>
            </w:r>
          </w:p>
        </w:tc>
        <w:tc>
          <w:tcPr>
            <w:tcW w:w="77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0.3</w:t>
            </w:r>
          </w:p>
        </w:tc>
        <w:tc>
          <w:tcPr>
            <w:tcW w:w="950" w:type="dxa"/>
            <w:shd w:val="clear" w:color="auto" w:fill="auto"/>
            <w:vAlign w:val="bottom"/>
          </w:tcPr>
          <w:p>
            <w:pPr>
              <w:jc w:val="center"/>
              <w:rPr>
                <w:rFonts w:ascii="宋体" w:hAnsi="宋体" w:cs="宋体"/>
                <w:color w:val="000000"/>
                <w:sz w:val="21"/>
                <w:szCs w:val="21"/>
              </w:rPr>
            </w:pP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110.0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二道河村</w:t>
            </w:r>
          </w:p>
        </w:tc>
        <w:tc>
          <w:tcPr>
            <w:tcW w:w="91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199.4</w:t>
            </w:r>
          </w:p>
        </w:tc>
        <w:tc>
          <w:tcPr>
            <w:tcW w:w="1076"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196.7</w:t>
            </w:r>
          </w:p>
        </w:tc>
        <w:tc>
          <w:tcPr>
            <w:tcW w:w="843" w:type="dxa"/>
            <w:shd w:val="clear" w:color="auto" w:fill="auto"/>
            <w:vAlign w:val="bottom"/>
          </w:tcPr>
          <w:p>
            <w:pPr>
              <w:jc w:val="center"/>
              <w:rPr>
                <w:rFonts w:ascii="宋体" w:hAnsi="宋体" w:cs="宋体"/>
                <w:color w:val="000000"/>
                <w:sz w:val="21"/>
                <w:szCs w:val="21"/>
              </w:rPr>
            </w:pPr>
          </w:p>
        </w:tc>
        <w:tc>
          <w:tcPr>
            <w:tcW w:w="100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1040.2</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12.9</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31.3</w:t>
            </w:r>
          </w:p>
        </w:tc>
        <w:tc>
          <w:tcPr>
            <w:tcW w:w="985" w:type="dxa"/>
            <w:shd w:val="clear" w:color="auto" w:fill="auto"/>
            <w:vAlign w:val="bottom"/>
          </w:tcPr>
          <w:p>
            <w:pPr>
              <w:jc w:val="center"/>
              <w:rPr>
                <w:rFonts w:ascii="宋体" w:hAnsi="宋体" w:cs="宋体"/>
                <w:color w:val="000000"/>
                <w:sz w:val="21"/>
                <w:szCs w:val="21"/>
              </w:rPr>
            </w:pPr>
          </w:p>
        </w:tc>
        <w:tc>
          <w:tcPr>
            <w:tcW w:w="951" w:type="dxa"/>
            <w:shd w:val="clear" w:color="auto" w:fill="auto"/>
            <w:vAlign w:val="bottom"/>
          </w:tcPr>
          <w:p>
            <w:pPr>
              <w:jc w:val="center"/>
              <w:rPr>
                <w:rFonts w:ascii="宋体" w:hAnsi="宋体" w:cs="宋体"/>
                <w:color w:val="000000"/>
                <w:sz w:val="21"/>
                <w:szCs w:val="21"/>
              </w:rPr>
            </w:pPr>
          </w:p>
        </w:tc>
        <w:tc>
          <w:tcPr>
            <w:tcW w:w="95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31.3</w:t>
            </w:r>
          </w:p>
        </w:tc>
        <w:tc>
          <w:tcPr>
            <w:tcW w:w="842" w:type="dxa"/>
            <w:shd w:val="clear" w:color="auto" w:fill="auto"/>
            <w:vAlign w:val="bottom"/>
          </w:tcPr>
          <w:p>
            <w:pPr>
              <w:jc w:val="center"/>
              <w:rPr>
                <w:rFonts w:ascii="宋体" w:hAnsi="宋体" w:cs="宋体"/>
                <w:color w:val="000000"/>
                <w:sz w:val="21"/>
                <w:szCs w:val="21"/>
              </w:rPr>
            </w:pPr>
          </w:p>
        </w:tc>
        <w:tc>
          <w:tcPr>
            <w:tcW w:w="739" w:type="dxa"/>
            <w:shd w:val="clear" w:color="auto" w:fill="auto"/>
            <w:vAlign w:val="bottom"/>
          </w:tcPr>
          <w:p>
            <w:pPr>
              <w:jc w:val="center"/>
              <w:rPr>
                <w:rFonts w:ascii="宋体" w:hAnsi="宋体" w:cs="宋体"/>
                <w:color w:val="000000"/>
                <w:sz w:val="21"/>
                <w:szCs w:val="21"/>
              </w:rPr>
            </w:pPr>
          </w:p>
        </w:tc>
        <w:tc>
          <w:tcPr>
            <w:tcW w:w="771" w:type="dxa"/>
            <w:shd w:val="clear" w:color="auto" w:fill="auto"/>
            <w:vAlign w:val="bottom"/>
          </w:tcPr>
          <w:p>
            <w:pPr>
              <w:jc w:val="center"/>
              <w:rPr>
                <w:rFonts w:ascii="宋体" w:hAnsi="宋体" w:cs="宋体"/>
                <w:color w:val="000000"/>
                <w:sz w:val="21"/>
                <w:szCs w:val="21"/>
              </w:rPr>
            </w:pPr>
          </w:p>
        </w:tc>
        <w:tc>
          <w:tcPr>
            <w:tcW w:w="950" w:type="dxa"/>
            <w:shd w:val="clear" w:color="auto" w:fill="auto"/>
            <w:vAlign w:val="bottom"/>
          </w:tcPr>
          <w:p>
            <w:pPr>
              <w:jc w:val="center"/>
              <w:rPr>
                <w:rFonts w:ascii="宋体" w:hAnsi="宋体" w:cs="宋体"/>
                <w:color w:val="000000"/>
                <w:sz w:val="21"/>
                <w:szCs w:val="21"/>
              </w:rPr>
            </w:pPr>
          </w:p>
        </w:tc>
        <w:tc>
          <w:tcPr>
            <w:tcW w:w="953" w:type="dxa"/>
            <w:shd w:val="clear" w:color="auto" w:fill="auto"/>
            <w:vAlign w:val="bottom"/>
          </w:tcPr>
          <w:p>
            <w:pPr>
              <w:jc w:val="center"/>
              <w:rPr>
                <w:rFonts w:ascii="宋体" w:hAnsi="宋体" w:cs="宋体"/>
                <w:color w:val="000000"/>
                <w:sz w:val="21"/>
                <w:szCs w:val="21"/>
              </w:rPr>
            </w:pP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甘井子村</w:t>
            </w:r>
          </w:p>
        </w:tc>
        <w:tc>
          <w:tcPr>
            <w:tcW w:w="91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477.2</w:t>
            </w:r>
          </w:p>
        </w:tc>
        <w:tc>
          <w:tcPr>
            <w:tcW w:w="1076"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396.4</w:t>
            </w:r>
          </w:p>
        </w:tc>
        <w:tc>
          <w:tcPr>
            <w:tcW w:w="843" w:type="dxa"/>
            <w:shd w:val="clear" w:color="auto" w:fill="auto"/>
            <w:vAlign w:val="bottom"/>
          </w:tcPr>
          <w:p>
            <w:pPr>
              <w:jc w:val="center"/>
              <w:rPr>
                <w:rFonts w:ascii="宋体" w:hAnsi="宋体" w:cs="宋体"/>
                <w:color w:val="000000"/>
                <w:sz w:val="21"/>
                <w:szCs w:val="21"/>
              </w:rPr>
            </w:pPr>
          </w:p>
        </w:tc>
        <w:tc>
          <w:tcPr>
            <w:tcW w:w="100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1043.9</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31.0</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78.5</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51.6</w:t>
            </w:r>
          </w:p>
        </w:tc>
        <w:tc>
          <w:tcPr>
            <w:tcW w:w="95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w:t>
            </w:r>
          </w:p>
        </w:tc>
        <w:tc>
          <w:tcPr>
            <w:tcW w:w="95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26.9</w:t>
            </w:r>
          </w:p>
        </w:tc>
        <w:tc>
          <w:tcPr>
            <w:tcW w:w="84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0.2</w:t>
            </w:r>
          </w:p>
        </w:tc>
        <w:tc>
          <w:tcPr>
            <w:tcW w:w="73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0.2</w:t>
            </w:r>
          </w:p>
        </w:tc>
        <w:tc>
          <w:tcPr>
            <w:tcW w:w="77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0.2</w:t>
            </w:r>
          </w:p>
        </w:tc>
        <w:tc>
          <w:tcPr>
            <w:tcW w:w="95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30.0</w:t>
            </w: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108.0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 w:hRule="atLeast"/>
          <w:jc w:val="center"/>
        </w:trPr>
        <w:tc>
          <w:tcPr>
            <w:tcW w:w="126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黑石头村</w:t>
            </w:r>
          </w:p>
        </w:tc>
        <w:tc>
          <w:tcPr>
            <w:tcW w:w="91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535.5</w:t>
            </w:r>
          </w:p>
        </w:tc>
        <w:tc>
          <w:tcPr>
            <w:tcW w:w="1076"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353.7</w:t>
            </w:r>
          </w:p>
        </w:tc>
        <w:tc>
          <w:tcPr>
            <w:tcW w:w="84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52.4</w:t>
            </w:r>
          </w:p>
        </w:tc>
        <w:tc>
          <w:tcPr>
            <w:tcW w:w="100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2560.3</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34.8</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54.7</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36.8</w:t>
            </w:r>
          </w:p>
        </w:tc>
        <w:tc>
          <w:tcPr>
            <w:tcW w:w="95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w:t>
            </w:r>
          </w:p>
        </w:tc>
        <w:tc>
          <w:tcPr>
            <w:tcW w:w="95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17.9</w:t>
            </w:r>
          </w:p>
        </w:tc>
        <w:tc>
          <w:tcPr>
            <w:tcW w:w="842" w:type="dxa"/>
            <w:shd w:val="clear" w:color="auto" w:fill="auto"/>
            <w:vAlign w:val="bottom"/>
          </w:tcPr>
          <w:p>
            <w:pPr>
              <w:jc w:val="center"/>
              <w:rPr>
                <w:rFonts w:ascii="宋体" w:hAnsi="宋体" w:cs="宋体"/>
                <w:color w:val="000000"/>
                <w:sz w:val="21"/>
                <w:szCs w:val="21"/>
              </w:rPr>
            </w:pPr>
          </w:p>
        </w:tc>
        <w:tc>
          <w:tcPr>
            <w:tcW w:w="739" w:type="dxa"/>
            <w:shd w:val="clear" w:color="auto" w:fill="auto"/>
            <w:vAlign w:val="bottom"/>
          </w:tcPr>
          <w:p>
            <w:pPr>
              <w:jc w:val="center"/>
              <w:rPr>
                <w:rFonts w:ascii="宋体" w:hAnsi="宋体" w:cs="宋体"/>
                <w:color w:val="000000"/>
                <w:sz w:val="21"/>
                <w:szCs w:val="21"/>
              </w:rPr>
            </w:pPr>
          </w:p>
        </w:tc>
        <w:tc>
          <w:tcPr>
            <w:tcW w:w="771" w:type="dxa"/>
            <w:shd w:val="clear" w:color="auto" w:fill="auto"/>
            <w:vAlign w:val="bottom"/>
          </w:tcPr>
          <w:p>
            <w:pPr>
              <w:jc w:val="center"/>
              <w:rPr>
                <w:rFonts w:ascii="宋体" w:hAnsi="宋体" w:cs="宋体"/>
                <w:color w:val="000000"/>
                <w:sz w:val="21"/>
                <w:szCs w:val="21"/>
              </w:rPr>
            </w:pPr>
          </w:p>
        </w:tc>
        <w:tc>
          <w:tcPr>
            <w:tcW w:w="95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20.0</w:t>
            </w: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112.0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九道沟村</w:t>
            </w:r>
          </w:p>
        </w:tc>
        <w:tc>
          <w:tcPr>
            <w:tcW w:w="91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273.7</w:t>
            </w:r>
          </w:p>
        </w:tc>
        <w:tc>
          <w:tcPr>
            <w:tcW w:w="1076"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160.4</w:t>
            </w:r>
          </w:p>
        </w:tc>
        <w:tc>
          <w:tcPr>
            <w:tcW w:w="843" w:type="dxa"/>
            <w:shd w:val="clear" w:color="auto" w:fill="auto"/>
            <w:vAlign w:val="bottom"/>
          </w:tcPr>
          <w:p>
            <w:pPr>
              <w:jc w:val="center"/>
              <w:rPr>
                <w:rFonts w:ascii="宋体" w:hAnsi="宋体" w:cs="宋体"/>
                <w:color w:val="000000"/>
                <w:sz w:val="21"/>
                <w:szCs w:val="21"/>
              </w:rPr>
            </w:pPr>
          </w:p>
        </w:tc>
        <w:tc>
          <w:tcPr>
            <w:tcW w:w="100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2657.5</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17.9</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29.2</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22.6</w:t>
            </w:r>
          </w:p>
        </w:tc>
        <w:tc>
          <w:tcPr>
            <w:tcW w:w="95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w:t>
            </w:r>
          </w:p>
        </w:tc>
        <w:tc>
          <w:tcPr>
            <w:tcW w:w="95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6.6</w:t>
            </w:r>
          </w:p>
        </w:tc>
        <w:tc>
          <w:tcPr>
            <w:tcW w:w="84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0.2</w:t>
            </w:r>
          </w:p>
        </w:tc>
        <w:tc>
          <w:tcPr>
            <w:tcW w:w="73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0.2</w:t>
            </w:r>
          </w:p>
        </w:tc>
        <w:tc>
          <w:tcPr>
            <w:tcW w:w="77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0.2</w:t>
            </w:r>
          </w:p>
        </w:tc>
        <w:tc>
          <w:tcPr>
            <w:tcW w:w="95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20.0</w:t>
            </w: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114.0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靠山屯村</w:t>
            </w:r>
          </w:p>
        </w:tc>
        <w:tc>
          <w:tcPr>
            <w:tcW w:w="91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239.9</w:t>
            </w:r>
          </w:p>
        </w:tc>
        <w:tc>
          <w:tcPr>
            <w:tcW w:w="1076"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225.9</w:t>
            </w:r>
          </w:p>
        </w:tc>
        <w:tc>
          <w:tcPr>
            <w:tcW w:w="843" w:type="dxa"/>
            <w:shd w:val="clear" w:color="auto" w:fill="auto"/>
            <w:vAlign w:val="bottom"/>
          </w:tcPr>
          <w:p>
            <w:pPr>
              <w:jc w:val="center"/>
              <w:rPr>
                <w:rFonts w:ascii="宋体" w:hAnsi="宋体" w:cs="宋体"/>
                <w:color w:val="000000"/>
                <w:sz w:val="21"/>
                <w:szCs w:val="21"/>
              </w:rPr>
            </w:pPr>
          </w:p>
        </w:tc>
        <w:tc>
          <w:tcPr>
            <w:tcW w:w="100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117.7</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15.6</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19.7</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10.2</w:t>
            </w:r>
          </w:p>
        </w:tc>
        <w:tc>
          <w:tcPr>
            <w:tcW w:w="95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0.2</w:t>
            </w:r>
          </w:p>
        </w:tc>
        <w:tc>
          <w:tcPr>
            <w:tcW w:w="95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9.5</w:t>
            </w:r>
          </w:p>
        </w:tc>
        <w:tc>
          <w:tcPr>
            <w:tcW w:w="84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8.7</w:t>
            </w:r>
          </w:p>
        </w:tc>
        <w:tc>
          <w:tcPr>
            <w:tcW w:w="73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2.7</w:t>
            </w:r>
          </w:p>
        </w:tc>
        <w:tc>
          <w:tcPr>
            <w:tcW w:w="77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w:t>
            </w:r>
          </w:p>
        </w:tc>
        <w:tc>
          <w:tcPr>
            <w:tcW w:w="95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8.0</w:t>
            </w: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98.0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龙头堡村</w:t>
            </w:r>
          </w:p>
        </w:tc>
        <w:tc>
          <w:tcPr>
            <w:tcW w:w="91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701.6</w:t>
            </w:r>
          </w:p>
        </w:tc>
        <w:tc>
          <w:tcPr>
            <w:tcW w:w="1076"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368.2</w:t>
            </w:r>
          </w:p>
        </w:tc>
        <w:tc>
          <w:tcPr>
            <w:tcW w:w="84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30.0</w:t>
            </w:r>
          </w:p>
        </w:tc>
        <w:tc>
          <w:tcPr>
            <w:tcW w:w="100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1197.2</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45.6</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66.9</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34.0</w:t>
            </w:r>
          </w:p>
        </w:tc>
        <w:tc>
          <w:tcPr>
            <w:tcW w:w="95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w:t>
            </w:r>
          </w:p>
        </w:tc>
        <w:tc>
          <w:tcPr>
            <w:tcW w:w="95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32.9</w:t>
            </w:r>
          </w:p>
        </w:tc>
        <w:tc>
          <w:tcPr>
            <w:tcW w:w="842" w:type="dxa"/>
            <w:shd w:val="clear" w:color="auto" w:fill="auto"/>
            <w:vAlign w:val="bottom"/>
          </w:tcPr>
          <w:p>
            <w:pPr>
              <w:jc w:val="center"/>
              <w:rPr>
                <w:rFonts w:ascii="宋体" w:hAnsi="宋体" w:cs="宋体"/>
                <w:color w:val="000000"/>
                <w:sz w:val="21"/>
                <w:szCs w:val="21"/>
              </w:rPr>
            </w:pPr>
          </w:p>
        </w:tc>
        <w:tc>
          <w:tcPr>
            <w:tcW w:w="739" w:type="dxa"/>
            <w:shd w:val="clear" w:color="auto" w:fill="auto"/>
            <w:vAlign w:val="bottom"/>
          </w:tcPr>
          <w:p>
            <w:pPr>
              <w:jc w:val="center"/>
              <w:rPr>
                <w:rFonts w:ascii="宋体" w:hAnsi="宋体" w:cs="宋体"/>
                <w:color w:val="000000"/>
                <w:sz w:val="21"/>
                <w:szCs w:val="21"/>
              </w:rPr>
            </w:pPr>
          </w:p>
        </w:tc>
        <w:tc>
          <w:tcPr>
            <w:tcW w:w="771" w:type="dxa"/>
            <w:shd w:val="clear" w:color="auto" w:fill="auto"/>
            <w:vAlign w:val="bottom"/>
          </w:tcPr>
          <w:p>
            <w:pPr>
              <w:jc w:val="center"/>
              <w:rPr>
                <w:rFonts w:ascii="宋体" w:hAnsi="宋体" w:cs="宋体"/>
                <w:color w:val="000000"/>
                <w:sz w:val="21"/>
                <w:szCs w:val="21"/>
              </w:rPr>
            </w:pPr>
          </w:p>
        </w:tc>
        <w:tc>
          <w:tcPr>
            <w:tcW w:w="95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6.0</w:t>
            </w: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108.0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南山城村</w:t>
            </w:r>
          </w:p>
        </w:tc>
        <w:tc>
          <w:tcPr>
            <w:tcW w:w="91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672.1</w:t>
            </w:r>
          </w:p>
        </w:tc>
        <w:tc>
          <w:tcPr>
            <w:tcW w:w="1076"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499.7</w:t>
            </w:r>
          </w:p>
        </w:tc>
        <w:tc>
          <w:tcPr>
            <w:tcW w:w="843" w:type="dxa"/>
            <w:shd w:val="clear" w:color="auto" w:fill="auto"/>
            <w:vAlign w:val="bottom"/>
          </w:tcPr>
          <w:p>
            <w:pPr>
              <w:jc w:val="center"/>
              <w:rPr>
                <w:rFonts w:ascii="宋体" w:hAnsi="宋体" w:cs="宋体"/>
                <w:color w:val="000000"/>
                <w:sz w:val="21"/>
                <w:szCs w:val="21"/>
              </w:rPr>
            </w:pPr>
          </w:p>
        </w:tc>
        <w:tc>
          <w:tcPr>
            <w:tcW w:w="100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701.7</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43.7</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115.3</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95.4</w:t>
            </w:r>
          </w:p>
        </w:tc>
        <w:tc>
          <w:tcPr>
            <w:tcW w:w="95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61.5</w:t>
            </w:r>
          </w:p>
        </w:tc>
        <w:tc>
          <w:tcPr>
            <w:tcW w:w="95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19.9</w:t>
            </w:r>
          </w:p>
        </w:tc>
        <w:tc>
          <w:tcPr>
            <w:tcW w:w="84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0.4</w:t>
            </w:r>
          </w:p>
        </w:tc>
        <w:tc>
          <w:tcPr>
            <w:tcW w:w="73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0.4</w:t>
            </w:r>
          </w:p>
        </w:tc>
        <w:tc>
          <w:tcPr>
            <w:tcW w:w="77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0.4</w:t>
            </w:r>
          </w:p>
        </w:tc>
        <w:tc>
          <w:tcPr>
            <w:tcW w:w="95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6.0</w:t>
            </w: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108.0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南小堡村</w:t>
            </w:r>
          </w:p>
        </w:tc>
        <w:tc>
          <w:tcPr>
            <w:tcW w:w="91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288.6</w:t>
            </w:r>
          </w:p>
        </w:tc>
        <w:tc>
          <w:tcPr>
            <w:tcW w:w="1076"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213.3</w:t>
            </w:r>
          </w:p>
        </w:tc>
        <w:tc>
          <w:tcPr>
            <w:tcW w:w="843" w:type="dxa"/>
            <w:shd w:val="clear" w:color="auto" w:fill="auto"/>
            <w:vAlign w:val="bottom"/>
          </w:tcPr>
          <w:p>
            <w:pPr>
              <w:jc w:val="center"/>
              <w:rPr>
                <w:rFonts w:ascii="宋体" w:hAnsi="宋体" w:cs="宋体"/>
                <w:color w:val="000000"/>
                <w:sz w:val="21"/>
                <w:szCs w:val="21"/>
              </w:rPr>
            </w:pPr>
          </w:p>
        </w:tc>
        <w:tc>
          <w:tcPr>
            <w:tcW w:w="100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301.1</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18.8</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18.3</w:t>
            </w:r>
          </w:p>
        </w:tc>
        <w:tc>
          <w:tcPr>
            <w:tcW w:w="985" w:type="dxa"/>
            <w:shd w:val="clear" w:color="auto" w:fill="auto"/>
            <w:vAlign w:val="bottom"/>
          </w:tcPr>
          <w:p>
            <w:pPr>
              <w:jc w:val="center"/>
              <w:rPr>
                <w:rFonts w:ascii="宋体" w:hAnsi="宋体" w:cs="宋体"/>
                <w:color w:val="000000"/>
                <w:sz w:val="21"/>
                <w:szCs w:val="21"/>
              </w:rPr>
            </w:pPr>
          </w:p>
        </w:tc>
        <w:tc>
          <w:tcPr>
            <w:tcW w:w="951" w:type="dxa"/>
            <w:shd w:val="clear" w:color="auto" w:fill="auto"/>
            <w:vAlign w:val="bottom"/>
          </w:tcPr>
          <w:p>
            <w:pPr>
              <w:jc w:val="center"/>
              <w:rPr>
                <w:rFonts w:ascii="宋体" w:hAnsi="宋体" w:cs="宋体"/>
                <w:color w:val="000000"/>
                <w:sz w:val="21"/>
                <w:szCs w:val="21"/>
              </w:rPr>
            </w:pPr>
          </w:p>
        </w:tc>
        <w:tc>
          <w:tcPr>
            <w:tcW w:w="95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18.3</w:t>
            </w:r>
          </w:p>
        </w:tc>
        <w:tc>
          <w:tcPr>
            <w:tcW w:w="842" w:type="dxa"/>
            <w:shd w:val="clear" w:color="auto" w:fill="auto"/>
            <w:vAlign w:val="bottom"/>
          </w:tcPr>
          <w:p>
            <w:pPr>
              <w:jc w:val="center"/>
              <w:rPr>
                <w:rFonts w:ascii="宋体" w:hAnsi="宋体" w:cs="宋体"/>
                <w:color w:val="000000"/>
                <w:sz w:val="21"/>
                <w:szCs w:val="21"/>
              </w:rPr>
            </w:pPr>
          </w:p>
        </w:tc>
        <w:tc>
          <w:tcPr>
            <w:tcW w:w="739" w:type="dxa"/>
            <w:shd w:val="clear" w:color="auto" w:fill="auto"/>
            <w:vAlign w:val="bottom"/>
          </w:tcPr>
          <w:p>
            <w:pPr>
              <w:jc w:val="center"/>
              <w:rPr>
                <w:rFonts w:ascii="宋体" w:hAnsi="宋体" w:cs="宋体"/>
                <w:color w:val="000000"/>
                <w:sz w:val="21"/>
                <w:szCs w:val="21"/>
              </w:rPr>
            </w:pPr>
          </w:p>
        </w:tc>
        <w:tc>
          <w:tcPr>
            <w:tcW w:w="771" w:type="dxa"/>
            <w:shd w:val="clear" w:color="auto" w:fill="auto"/>
            <w:vAlign w:val="bottom"/>
          </w:tcPr>
          <w:p>
            <w:pPr>
              <w:jc w:val="center"/>
              <w:rPr>
                <w:rFonts w:ascii="宋体" w:hAnsi="宋体" w:cs="宋体"/>
                <w:color w:val="000000"/>
                <w:sz w:val="21"/>
                <w:szCs w:val="21"/>
              </w:rPr>
            </w:pPr>
          </w:p>
        </w:tc>
        <w:tc>
          <w:tcPr>
            <w:tcW w:w="95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15.0</w:t>
            </w:r>
          </w:p>
        </w:tc>
        <w:tc>
          <w:tcPr>
            <w:tcW w:w="953" w:type="dxa"/>
            <w:shd w:val="clear" w:color="auto" w:fill="auto"/>
            <w:vAlign w:val="bottom"/>
          </w:tcPr>
          <w:p>
            <w:pPr>
              <w:jc w:val="center"/>
              <w:rPr>
                <w:rFonts w:ascii="宋体" w:hAnsi="宋体" w:cs="宋体"/>
                <w:color w:val="000000"/>
                <w:sz w:val="21"/>
                <w:szCs w:val="21"/>
              </w:rPr>
            </w:pP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三道河村</w:t>
            </w:r>
          </w:p>
        </w:tc>
        <w:tc>
          <w:tcPr>
            <w:tcW w:w="91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427.0</w:t>
            </w:r>
          </w:p>
        </w:tc>
        <w:tc>
          <w:tcPr>
            <w:tcW w:w="1076"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336.4</w:t>
            </w:r>
          </w:p>
        </w:tc>
        <w:tc>
          <w:tcPr>
            <w:tcW w:w="843" w:type="dxa"/>
            <w:shd w:val="clear" w:color="auto" w:fill="auto"/>
            <w:vAlign w:val="bottom"/>
          </w:tcPr>
          <w:p>
            <w:pPr>
              <w:jc w:val="center"/>
              <w:rPr>
                <w:rFonts w:ascii="宋体" w:hAnsi="宋体" w:cs="宋体"/>
                <w:color w:val="000000"/>
                <w:sz w:val="21"/>
                <w:szCs w:val="21"/>
              </w:rPr>
            </w:pPr>
          </w:p>
        </w:tc>
        <w:tc>
          <w:tcPr>
            <w:tcW w:w="100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2178.5</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27.7</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27.6</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17.5</w:t>
            </w:r>
          </w:p>
        </w:tc>
        <w:tc>
          <w:tcPr>
            <w:tcW w:w="95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w:t>
            </w:r>
          </w:p>
        </w:tc>
        <w:tc>
          <w:tcPr>
            <w:tcW w:w="95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10.1</w:t>
            </w:r>
          </w:p>
        </w:tc>
        <w:tc>
          <w:tcPr>
            <w:tcW w:w="842" w:type="dxa"/>
            <w:shd w:val="clear" w:color="auto" w:fill="auto"/>
            <w:vAlign w:val="bottom"/>
          </w:tcPr>
          <w:p>
            <w:pPr>
              <w:jc w:val="center"/>
              <w:rPr>
                <w:rFonts w:ascii="宋体" w:hAnsi="宋体" w:cs="宋体"/>
                <w:color w:val="000000"/>
                <w:sz w:val="21"/>
                <w:szCs w:val="21"/>
              </w:rPr>
            </w:pPr>
          </w:p>
        </w:tc>
        <w:tc>
          <w:tcPr>
            <w:tcW w:w="739" w:type="dxa"/>
            <w:shd w:val="clear" w:color="auto" w:fill="auto"/>
            <w:vAlign w:val="bottom"/>
          </w:tcPr>
          <w:p>
            <w:pPr>
              <w:jc w:val="center"/>
              <w:rPr>
                <w:rFonts w:ascii="宋体" w:hAnsi="宋体" w:cs="宋体"/>
                <w:color w:val="000000"/>
                <w:sz w:val="21"/>
                <w:szCs w:val="21"/>
              </w:rPr>
            </w:pPr>
          </w:p>
        </w:tc>
        <w:tc>
          <w:tcPr>
            <w:tcW w:w="771" w:type="dxa"/>
            <w:shd w:val="clear" w:color="auto" w:fill="auto"/>
            <w:vAlign w:val="bottom"/>
          </w:tcPr>
          <w:p>
            <w:pPr>
              <w:jc w:val="center"/>
              <w:rPr>
                <w:rFonts w:ascii="宋体" w:hAnsi="宋体" w:cs="宋体"/>
                <w:color w:val="000000"/>
                <w:sz w:val="21"/>
                <w:szCs w:val="21"/>
              </w:rPr>
            </w:pPr>
          </w:p>
        </w:tc>
        <w:tc>
          <w:tcPr>
            <w:tcW w:w="950" w:type="dxa"/>
            <w:shd w:val="clear" w:color="auto" w:fill="auto"/>
            <w:vAlign w:val="bottom"/>
          </w:tcPr>
          <w:p>
            <w:pPr>
              <w:jc w:val="center"/>
              <w:rPr>
                <w:rFonts w:ascii="宋体" w:hAnsi="宋体" w:cs="宋体"/>
                <w:color w:val="000000"/>
                <w:sz w:val="21"/>
                <w:szCs w:val="21"/>
              </w:rPr>
            </w:pP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104.0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三道岭村</w:t>
            </w:r>
          </w:p>
        </w:tc>
        <w:tc>
          <w:tcPr>
            <w:tcW w:w="91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508.4</w:t>
            </w:r>
          </w:p>
        </w:tc>
        <w:tc>
          <w:tcPr>
            <w:tcW w:w="1076"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407.9</w:t>
            </w:r>
          </w:p>
        </w:tc>
        <w:tc>
          <w:tcPr>
            <w:tcW w:w="843" w:type="dxa"/>
            <w:shd w:val="clear" w:color="auto" w:fill="auto"/>
            <w:vAlign w:val="bottom"/>
          </w:tcPr>
          <w:p>
            <w:pPr>
              <w:jc w:val="center"/>
              <w:rPr>
                <w:rFonts w:ascii="宋体" w:hAnsi="宋体" w:cs="宋体"/>
                <w:color w:val="000000"/>
                <w:sz w:val="21"/>
                <w:szCs w:val="21"/>
              </w:rPr>
            </w:pPr>
          </w:p>
        </w:tc>
        <w:tc>
          <w:tcPr>
            <w:tcW w:w="100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1227.8</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33.1</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45.9</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28.8</w:t>
            </w:r>
          </w:p>
        </w:tc>
        <w:tc>
          <w:tcPr>
            <w:tcW w:w="95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0.3</w:t>
            </w:r>
          </w:p>
        </w:tc>
        <w:tc>
          <w:tcPr>
            <w:tcW w:w="95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17.1</w:t>
            </w:r>
          </w:p>
        </w:tc>
        <w:tc>
          <w:tcPr>
            <w:tcW w:w="842" w:type="dxa"/>
            <w:shd w:val="clear" w:color="auto" w:fill="auto"/>
            <w:vAlign w:val="bottom"/>
          </w:tcPr>
          <w:p>
            <w:pPr>
              <w:jc w:val="center"/>
              <w:rPr>
                <w:rFonts w:ascii="宋体" w:hAnsi="宋体" w:cs="宋体"/>
                <w:color w:val="000000"/>
                <w:sz w:val="21"/>
                <w:szCs w:val="21"/>
              </w:rPr>
            </w:pPr>
          </w:p>
        </w:tc>
        <w:tc>
          <w:tcPr>
            <w:tcW w:w="739" w:type="dxa"/>
            <w:shd w:val="clear" w:color="auto" w:fill="auto"/>
            <w:vAlign w:val="bottom"/>
          </w:tcPr>
          <w:p>
            <w:pPr>
              <w:jc w:val="center"/>
              <w:rPr>
                <w:rFonts w:ascii="宋体" w:hAnsi="宋体" w:cs="宋体"/>
                <w:color w:val="000000"/>
                <w:sz w:val="21"/>
                <w:szCs w:val="21"/>
              </w:rPr>
            </w:pPr>
          </w:p>
        </w:tc>
        <w:tc>
          <w:tcPr>
            <w:tcW w:w="771" w:type="dxa"/>
            <w:shd w:val="clear" w:color="auto" w:fill="auto"/>
            <w:vAlign w:val="bottom"/>
          </w:tcPr>
          <w:p>
            <w:pPr>
              <w:jc w:val="center"/>
              <w:rPr>
                <w:rFonts w:ascii="宋体" w:hAnsi="宋体" w:cs="宋体"/>
                <w:color w:val="000000"/>
                <w:sz w:val="21"/>
                <w:szCs w:val="21"/>
              </w:rPr>
            </w:pPr>
          </w:p>
        </w:tc>
        <w:tc>
          <w:tcPr>
            <w:tcW w:w="950" w:type="dxa"/>
            <w:shd w:val="clear" w:color="auto" w:fill="auto"/>
            <w:vAlign w:val="bottom"/>
          </w:tcPr>
          <w:p>
            <w:pPr>
              <w:jc w:val="center"/>
              <w:rPr>
                <w:rFonts w:ascii="宋体" w:hAnsi="宋体" w:cs="宋体"/>
                <w:color w:val="000000"/>
                <w:sz w:val="21"/>
                <w:szCs w:val="21"/>
              </w:rPr>
            </w:pP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108.0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三盛堡村</w:t>
            </w:r>
          </w:p>
        </w:tc>
        <w:tc>
          <w:tcPr>
            <w:tcW w:w="91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522.1</w:t>
            </w:r>
          </w:p>
        </w:tc>
        <w:tc>
          <w:tcPr>
            <w:tcW w:w="1076"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406.9</w:t>
            </w:r>
          </w:p>
        </w:tc>
        <w:tc>
          <w:tcPr>
            <w:tcW w:w="843" w:type="dxa"/>
            <w:shd w:val="clear" w:color="auto" w:fill="auto"/>
            <w:vAlign w:val="bottom"/>
          </w:tcPr>
          <w:p>
            <w:pPr>
              <w:jc w:val="center"/>
              <w:rPr>
                <w:rFonts w:ascii="宋体" w:hAnsi="宋体" w:cs="宋体"/>
                <w:color w:val="000000"/>
                <w:sz w:val="21"/>
                <w:szCs w:val="21"/>
              </w:rPr>
            </w:pPr>
          </w:p>
        </w:tc>
        <w:tc>
          <w:tcPr>
            <w:tcW w:w="100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2141.5</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34.0</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56.4</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34.0</w:t>
            </w:r>
          </w:p>
        </w:tc>
        <w:tc>
          <w:tcPr>
            <w:tcW w:w="95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w:t>
            </w:r>
          </w:p>
        </w:tc>
        <w:tc>
          <w:tcPr>
            <w:tcW w:w="95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22.4</w:t>
            </w:r>
          </w:p>
        </w:tc>
        <w:tc>
          <w:tcPr>
            <w:tcW w:w="842" w:type="dxa"/>
            <w:shd w:val="clear" w:color="auto" w:fill="auto"/>
            <w:vAlign w:val="bottom"/>
          </w:tcPr>
          <w:p>
            <w:pPr>
              <w:jc w:val="center"/>
              <w:rPr>
                <w:rFonts w:ascii="宋体" w:hAnsi="宋体" w:cs="宋体"/>
                <w:color w:val="000000"/>
                <w:sz w:val="21"/>
                <w:szCs w:val="21"/>
              </w:rPr>
            </w:pPr>
          </w:p>
        </w:tc>
        <w:tc>
          <w:tcPr>
            <w:tcW w:w="739" w:type="dxa"/>
            <w:shd w:val="clear" w:color="auto" w:fill="auto"/>
            <w:vAlign w:val="bottom"/>
          </w:tcPr>
          <w:p>
            <w:pPr>
              <w:jc w:val="center"/>
              <w:rPr>
                <w:rFonts w:ascii="宋体" w:hAnsi="宋体" w:cs="宋体"/>
                <w:color w:val="000000"/>
                <w:sz w:val="21"/>
                <w:szCs w:val="21"/>
              </w:rPr>
            </w:pPr>
          </w:p>
        </w:tc>
        <w:tc>
          <w:tcPr>
            <w:tcW w:w="771" w:type="dxa"/>
            <w:shd w:val="clear" w:color="auto" w:fill="auto"/>
            <w:vAlign w:val="bottom"/>
          </w:tcPr>
          <w:p>
            <w:pPr>
              <w:jc w:val="center"/>
              <w:rPr>
                <w:rFonts w:ascii="宋体" w:hAnsi="宋体" w:cs="宋体"/>
                <w:color w:val="000000"/>
                <w:sz w:val="21"/>
                <w:szCs w:val="21"/>
              </w:rPr>
            </w:pPr>
          </w:p>
        </w:tc>
        <w:tc>
          <w:tcPr>
            <w:tcW w:w="95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12.2</w:t>
            </w: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104.0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四道碱场村</w:t>
            </w:r>
          </w:p>
        </w:tc>
        <w:tc>
          <w:tcPr>
            <w:tcW w:w="91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555.9</w:t>
            </w:r>
          </w:p>
        </w:tc>
        <w:tc>
          <w:tcPr>
            <w:tcW w:w="1076"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365.4</w:t>
            </w:r>
          </w:p>
        </w:tc>
        <w:tc>
          <w:tcPr>
            <w:tcW w:w="843" w:type="dxa"/>
            <w:shd w:val="clear" w:color="auto" w:fill="auto"/>
            <w:vAlign w:val="bottom"/>
          </w:tcPr>
          <w:p>
            <w:pPr>
              <w:jc w:val="center"/>
              <w:rPr>
                <w:rFonts w:ascii="宋体" w:hAnsi="宋体" w:cs="宋体"/>
                <w:color w:val="000000"/>
                <w:sz w:val="21"/>
                <w:szCs w:val="21"/>
              </w:rPr>
            </w:pPr>
          </w:p>
        </w:tc>
        <w:tc>
          <w:tcPr>
            <w:tcW w:w="100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632.6</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36.1</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42.2</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32.4</w:t>
            </w:r>
          </w:p>
        </w:tc>
        <w:tc>
          <w:tcPr>
            <w:tcW w:w="95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w:t>
            </w:r>
          </w:p>
        </w:tc>
        <w:tc>
          <w:tcPr>
            <w:tcW w:w="95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9.8</w:t>
            </w:r>
          </w:p>
        </w:tc>
        <w:tc>
          <w:tcPr>
            <w:tcW w:w="842" w:type="dxa"/>
            <w:shd w:val="clear" w:color="auto" w:fill="auto"/>
            <w:vAlign w:val="bottom"/>
          </w:tcPr>
          <w:p>
            <w:pPr>
              <w:jc w:val="center"/>
              <w:rPr>
                <w:rFonts w:ascii="宋体" w:hAnsi="宋体" w:cs="宋体"/>
                <w:color w:val="000000"/>
                <w:sz w:val="21"/>
                <w:szCs w:val="21"/>
              </w:rPr>
            </w:pPr>
          </w:p>
        </w:tc>
        <w:tc>
          <w:tcPr>
            <w:tcW w:w="739" w:type="dxa"/>
            <w:shd w:val="clear" w:color="auto" w:fill="auto"/>
            <w:vAlign w:val="bottom"/>
          </w:tcPr>
          <w:p>
            <w:pPr>
              <w:jc w:val="center"/>
              <w:rPr>
                <w:rFonts w:ascii="宋体" w:hAnsi="宋体" w:cs="宋体"/>
                <w:color w:val="000000"/>
                <w:sz w:val="21"/>
                <w:szCs w:val="21"/>
              </w:rPr>
            </w:pPr>
          </w:p>
        </w:tc>
        <w:tc>
          <w:tcPr>
            <w:tcW w:w="771" w:type="dxa"/>
            <w:shd w:val="clear" w:color="auto" w:fill="auto"/>
            <w:vAlign w:val="bottom"/>
          </w:tcPr>
          <w:p>
            <w:pPr>
              <w:jc w:val="center"/>
              <w:rPr>
                <w:rFonts w:ascii="宋体" w:hAnsi="宋体" w:cs="宋体"/>
                <w:color w:val="000000"/>
                <w:sz w:val="21"/>
                <w:szCs w:val="21"/>
              </w:rPr>
            </w:pPr>
          </w:p>
        </w:tc>
        <w:tc>
          <w:tcPr>
            <w:tcW w:w="950" w:type="dxa"/>
            <w:shd w:val="clear" w:color="auto" w:fill="auto"/>
            <w:vAlign w:val="bottom"/>
          </w:tcPr>
          <w:p>
            <w:pPr>
              <w:jc w:val="center"/>
              <w:rPr>
                <w:rFonts w:ascii="宋体" w:hAnsi="宋体" w:cs="宋体"/>
                <w:color w:val="000000"/>
                <w:sz w:val="21"/>
                <w:szCs w:val="21"/>
              </w:rPr>
            </w:pP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108.0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太平甸村</w:t>
            </w:r>
          </w:p>
        </w:tc>
        <w:tc>
          <w:tcPr>
            <w:tcW w:w="91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371.0</w:t>
            </w:r>
          </w:p>
        </w:tc>
        <w:tc>
          <w:tcPr>
            <w:tcW w:w="1076"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313.6</w:t>
            </w:r>
          </w:p>
        </w:tc>
        <w:tc>
          <w:tcPr>
            <w:tcW w:w="843" w:type="dxa"/>
            <w:shd w:val="clear" w:color="auto" w:fill="auto"/>
            <w:vAlign w:val="bottom"/>
          </w:tcPr>
          <w:p>
            <w:pPr>
              <w:jc w:val="center"/>
              <w:rPr>
                <w:rFonts w:ascii="宋体" w:hAnsi="宋体" w:cs="宋体"/>
                <w:color w:val="000000"/>
                <w:sz w:val="21"/>
                <w:szCs w:val="21"/>
              </w:rPr>
            </w:pPr>
          </w:p>
        </w:tc>
        <w:tc>
          <w:tcPr>
            <w:tcW w:w="100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322.6</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24.1</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31.8</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19.4</w:t>
            </w:r>
          </w:p>
        </w:tc>
        <w:tc>
          <w:tcPr>
            <w:tcW w:w="95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0.5</w:t>
            </w:r>
          </w:p>
        </w:tc>
        <w:tc>
          <w:tcPr>
            <w:tcW w:w="95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12.4</w:t>
            </w:r>
          </w:p>
        </w:tc>
        <w:tc>
          <w:tcPr>
            <w:tcW w:w="842" w:type="dxa"/>
            <w:shd w:val="clear" w:color="auto" w:fill="auto"/>
            <w:vAlign w:val="bottom"/>
          </w:tcPr>
          <w:p>
            <w:pPr>
              <w:jc w:val="center"/>
              <w:rPr>
                <w:rFonts w:ascii="宋体" w:hAnsi="宋体" w:cs="宋体"/>
                <w:color w:val="000000"/>
                <w:sz w:val="21"/>
                <w:szCs w:val="21"/>
              </w:rPr>
            </w:pPr>
          </w:p>
        </w:tc>
        <w:tc>
          <w:tcPr>
            <w:tcW w:w="739" w:type="dxa"/>
            <w:shd w:val="clear" w:color="auto" w:fill="auto"/>
            <w:vAlign w:val="bottom"/>
          </w:tcPr>
          <w:p>
            <w:pPr>
              <w:jc w:val="center"/>
              <w:rPr>
                <w:rFonts w:ascii="宋体" w:hAnsi="宋体" w:cs="宋体"/>
                <w:color w:val="000000"/>
                <w:sz w:val="21"/>
                <w:szCs w:val="21"/>
              </w:rPr>
            </w:pPr>
          </w:p>
        </w:tc>
        <w:tc>
          <w:tcPr>
            <w:tcW w:w="771" w:type="dxa"/>
            <w:shd w:val="clear" w:color="auto" w:fill="auto"/>
            <w:vAlign w:val="bottom"/>
          </w:tcPr>
          <w:p>
            <w:pPr>
              <w:jc w:val="center"/>
              <w:rPr>
                <w:rFonts w:ascii="宋体" w:hAnsi="宋体" w:cs="宋体"/>
                <w:color w:val="000000"/>
                <w:sz w:val="21"/>
                <w:szCs w:val="21"/>
              </w:rPr>
            </w:pPr>
          </w:p>
        </w:tc>
        <w:tc>
          <w:tcPr>
            <w:tcW w:w="950" w:type="dxa"/>
            <w:shd w:val="clear" w:color="auto" w:fill="auto"/>
            <w:vAlign w:val="bottom"/>
          </w:tcPr>
          <w:p>
            <w:pPr>
              <w:jc w:val="center"/>
              <w:rPr>
                <w:rFonts w:ascii="宋体" w:hAnsi="宋体" w:cs="宋体"/>
                <w:color w:val="000000"/>
                <w:sz w:val="21"/>
                <w:szCs w:val="21"/>
              </w:rPr>
            </w:pP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108.0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苇塘村</w:t>
            </w:r>
          </w:p>
        </w:tc>
        <w:tc>
          <w:tcPr>
            <w:tcW w:w="91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250.3</w:t>
            </w:r>
          </w:p>
        </w:tc>
        <w:tc>
          <w:tcPr>
            <w:tcW w:w="1076"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218.5</w:t>
            </w:r>
          </w:p>
        </w:tc>
        <w:tc>
          <w:tcPr>
            <w:tcW w:w="843" w:type="dxa"/>
            <w:shd w:val="clear" w:color="auto" w:fill="auto"/>
            <w:vAlign w:val="bottom"/>
          </w:tcPr>
          <w:p>
            <w:pPr>
              <w:jc w:val="center"/>
              <w:rPr>
                <w:rFonts w:ascii="宋体" w:hAnsi="宋体" w:cs="宋体"/>
                <w:color w:val="000000"/>
                <w:sz w:val="21"/>
                <w:szCs w:val="21"/>
              </w:rPr>
            </w:pPr>
          </w:p>
        </w:tc>
        <w:tc>
          <w:tcPr>
            <w:tcW w:w="100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1234.0</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16.3</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19.2</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11.8</w:t>
            </w:r>
          </w:p>
        </w:tc>
        <w:tc>
          <w:tcPr>
            <w:tcW w:w="95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0.2</w:t>
            </w:r>
          </w:p>
        </w:tc>
        <w:tc>
          <w:tcPr>
            <w:tcW w:w="95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7.4</w:t>
            </w:r>
          </w:p>
        </w:tc>
        <w:tc>
          <w:tcPr>
            <w:tcW w:w="842" w:type="dxa"/>
            <w:shd w:val="clear" w:color="auto" w:fill="auto"/>
            <w:vAlign w:val="bottom"/>
          </w:tcPr>
          <w:p>
            <w:pPr>
              <w:jc w:val="center"/>
              <w:rPr>
                <w:rFonts w:ascii="宋体" w:hAnsi="宋体" w:cs="宋体"/>
                <w:color w:val="000000"/>
                <w:sz w:val="21"/>
                <w:szCs w:val="21"/>
              </w:rPr>
            </w:pPr>
          </w:p>
        </w:tc>
        <w:tc>
          <w:tcPr>
            <w:tcW w:w="739" w:type="dxa"/>
            <w:shd w:val="clear" w:color="auto" w:fill="auto"/>
            <w:vAlign w:val="bottom"/>
          </w:tcPr>
          <w:p>
            <w:pPr>
              <w:jc w:val="center"/>
              <w:rPr>
                <w:rFonts w:ascii="宋体" w:hAnsi="宋体" w:cs="宋体"/>
                <w:color w:val="000000"/>
                <w:sz w:val="21"/>
                <w:szCs w:val="21"/>
              </w:rPr>
            </w:pPr>
          </w:p>
        </w:tc>
        <w:tc>
          <w:tcPr>
            <w:tcW w:w="771" w:type="dxa"/>
            <w:shd w:val="clear" w:color="auto" w:fill="auto"/>
            <w:vAlign w:val="bottom"/>
          </w:tcPr>
          <w:p>
            <w:pPr>
              <w:jc w:val="center"/>
              <w:rPr>
                <w:rFonts w:ascii="宋体" w:hAnsi="宋体" w:cs="宋体"/>
                <w:color w:val="000000"/>
                <w:sz w:val="21"/>
                <w:szCs w:val="21"/>
              </w:rPr>
            </w:pPr>
          </w:p>
        </w:tc>
        <w:tc>
          <w:tcPr>
            <w:tcW w:w="950" w:type="dxa"/>
            <w:shd w:val="clear" w:color="auto" w:fill="auto"/>
            <w:vAlign w:val="bottom"/>
          </w:tcPr>
          <w:p>
            <w:pPr>
              <w:jc w:val="center"/>
              <w:rPr>
                <w:rFonts w:ascii="宋体" w:hAnsi="宋体" w:cs="宋体"/>
                <w:color w:val="000000"/>
                <w:sz w:val="21"/>
                <w:szCs w:val="21"/>
              </w:rPr>
            </w:pP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115.0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下堡村</w:t>
            </w:r>
          </w:p>
        </w:tc>
        <w:tc>
          <w:tcPr>
            <w:tcW w:w="91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351.9</w:t>
            </w:r>
          </w:p>
        </w:tc>
        <w:tc>
          <w:tcPr>
            <w:tcW w:w="1076"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227.5</w:t>
            </w:r>
          </w:p>
        </w:tc>
        <w:tc>
          <w:tcPr>
            <w:tcW w:w="843" w:type="dxa"/>
            <w:shd w:val="clear" w:color="auto" w:fill="auto"/>
            <w:vAlign w:val="bottom"/>
          </w:tcPr>
          <w:p>
            <w:pPr>
              <w:jc w:val="center"/>
              <w:rPr>
                <w:rFonts w:ascii="宋体" w:hAnsi="宋体" w:cs="宋体"/>
                <w:color w:val="000000"/>
                <w:sz w:val="21"/>
                <w:szCs w:val="21"/>
              </w:rPr>
            </w:pPr>
          </w:p>
        </w:tc>
        <w:tc>
          <w:tcPr>
            <w:tcW w:w="100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710.8</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22.9</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33.9</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20.4</w:t>
            </w:r>
          </w:p>
        </w:tc>
        <w:tc>
          <w:tcPr>
            <w:tcW w:w="95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w:t>
            </w:r>
          </w:p>
        </w:tc>
        <w:tc>
          <w:tcPr>
            <w:tcW w:w="95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13.5</w:t>
            </w:r>
          </w:p>
        </w:tc>
        <w:tc>
          <w:tcPr>
            <w:tcW w:w="842" w:type="dxa"/>
            <w:shd w:val="clear" w:color="auto" w:fill="auto"/>
            <w:vAlign w:val="bottom"/>
          </w:tcPr>
          <w:p>
            <w:pPr>
              <w:jc w:val="center"/>
              <w:rPr>
                <w:rFonts w:ascii="宋体" w:hAnsi="宋体" w:cs="宋体"/>
                <w:color w:val="000000"/>
                <w:sz w:val="21"/>
                <w:szCs w:val="21"/>
              </w:rPr>
            </w:pPr>
          </w:p>
        </w:tc>
        <w:tc>
          <w:tcPr>
            <w:tcW w:w="739" w:type="dxa"/>
            <w:shd w:val="clear" w:color="auto" w:fill="auto"/>
            <w:vAlign w:val="bottom"/>
          </w:tcPr>
          <w:p>
            <w:pPr>
              <w:jc w:val="center"/>
              <w:rPr>
                <w:rFonts w:ascii="宋体" w:hAnsi="宋体" w:cs="宋体"/>
                <w:color w:val="000000"/>
                <w:sz w:val="21"/>
                <w:szCs w:val="21"/>
              </w:rPr>
            </w:pPr>
          </w:p>
        </w:tc>
        <w:tc>
          <w:tcPr>
            <w:tcW w:w="771" w:type="dxa"/>
            <w:shd w:val="clear" w:color="auto" w:fill="auto"/>
            <w:vAlign w:val="bottom"/>
          </w:tcPr>
          <w:p>
            <w:pPr>
              <w:jc w:val="center"/>
              <w:rPr>
                <w:rFonts w:ascii="宋体" w:hAnsi="宋体" w:cs="宋体"/>
                <w:color w:val="000000"/>
                <w:sz w:val="21"/>
                <w:szCs w:val="21"/>
              </w:rPr>
            </w:pPr>
          </w:p>
        </w:tc>
        <w:tc>
          <w:tcPr>
            <w:tcW w:w="950" w:type="dxa"/>
            <w:shd w:val="clear" w:color="auto" w:fill="auto"/>
            <w:vAlign w:val="bottom"/>
          </w:tcPr>
          <w:p>
            <w:pPr>
              <w:jc w:val="center"/>
              <w:rPr>
                <w:rFonts w:ascii="宋体" w:hAnsi="宋体" w:cs="宋体"/>
                <w:color w:val="000000"/>
                <w:sz w:val="21"/>
                <w:szCs w:val="21"/>
              </w:rPr>
            </w:pP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108.0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秀水甸村</w:t>
            </w:r>
          </w:p>
        </w:tc>
        <w:tc>
          <w:tcPr>
            <w:tcW w:w="91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456.5</w:t>
            </w:r>
          </w:p>
        </w:tc>
        <w:tc>
          <w:tcPr>
            <w:tcW w:w="1076"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323.2</w:t>
            </w:r>
          </w:p>
        </w:tc>
        <w:tc>
          <w:tcPr>
            <w:tcW w:w="843" w:type="dxa"/>
            <w:shd w:val="clear" w:color="auto" w:fill="auto"/>
            <w:vAlign w:val="bottom"/>
          </w:tcPr>
          <w:p>
            <w:pPr>
              <w:jc w:val="center"/>
              <w:rPr>
                <w:rFonts w:ascii="宋体" w:hAnsi="宋体" w:cs="宋体"/>
                <w:color w:val="000000"/>
                <w:sz w:val="21"/>
                <w:szCs w:val="21"/>
              </w:rPr>
            </w:pPr>
          </w:p>
        </w:tc>
        <w:tc>
          <w:tcPr>
            <w:tcW w:w="100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1399.7</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29.7</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41.5</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13.7</w:t>
            </w:r>
          </w:p>
        </w:tc>
        <w:tc>
          <w:tcPr>
            <w:tcW w:w="95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0.9</w:t>
            </w:r>
          </w:p>
        </w:tc>
        <w:tc>
          <w:tcPr>
            <w:tcW w:w="95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27.8</w:t>
            </w:r>
          </w:p>
        </w:tc>
        <w:tc>
          <w:tcPr>
            <w:tcW w:w="842" w:type="dxa"/>
            <w:shd w:val="clear" w:color="auto" w:fill="auto"/>
            <w:vAlign w:val="bottom"/>
          </w:tcPr>
          <w:p>
            <w:pPr>
              <w:jc w:val="center"/>
              <w:rPr>
                <w:rFonts w:ascii="宋体" w:hAnsi="宋体" w:cs="宋体"/>
                <w:color w:val="000000"/>
                <w:sz w:val="21"/>
                <w:szCs w:val="21"/>
              </w:rPr>
            </w:pPr>
          </w:p>
        </w:tc>
        <w:tc>
          <w:tcPr>
            <w:tcW w:w="739" w:type="dxa"/>
            <w:shd w:val="clear" w:color="auto" w:fill="auto"/>
            <w:vAlign w:val="bottom"/>
          </w:tcPr>
          <w:p>
            <w:pPr>
              <w:jc w:val="center"/>
              <w:rPr>
                <w:rFonts w:ascii="宋体" w:hAnsi="宋体" w:cs="宋体"/>
                <w:color w:val="000000"/>
                <w:sz w:val="21"/>
                <w:szCs w:val="21"/>
              </w:rPr>
            </w:pPr>
          </w:p>
        </w:tc>
        <w:tc>
          <w:tcPr>
            <w:tcW w:w="771" w:type="dxa"/>
            <w:shd w:val="clear" w:color="auto" w:fill="auto"/>
            <w:vAlign w:val="bottom"/>
          </w:tcPr>
          <w:p>
            <w:pPr>
              <w:jc w:val="center"/>
              <w:rPr>
                <w:rFonts w:ascii="宋体" w:hAnsi="宋体" w:cs="宋体"/>
                <w:color w:val="000000"/>
                <w:sz w:val="21"/>
                <w:szCs w:val="21"/>
              </w:rPr>
            </w:pPr>
          </w:p>
        </w:tc>
        <w:tc>
          <w:tcPr>
            <w:tcW w:w="950" w:type="dxa"/>
            <w:shd w:val="clear" w:color="auto" w:fill="auto"/>
            <w:vAlign w:val="bottom"/>
          </w:tcPr>
          <w:p>
            <w:pPr>
              <w:jc w:val="center"/>
              <w:rPr>
                <w:rFonts w:ascii="宋体" w:hAnsi="宋体" w:cs="宋体"/>
                <w:color w:val="000000"/>
                <w:sz w:val="21"/>
                <w:szCs w:val="21"/>
              </w:rPr>
            </w:pP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98.0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杨树崴子村</w:t>
            </w:r>
          </w:p>
        </w:tc>
        <w:tc>
          <w:tcPr>
            <w:tcW w:w="91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364.7</w:t>
            </w:r>
          </w:p>
        </w:tc>
        <w:tc>
          <w:tcPr>
            <w:tcW w:w="1076"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228.2</w:t>
            </w:r>
          </w:p>
        </w:tc>
        <w:tc>
          <w:tcPr>
            <w:tcW w:w="843" w:type="dxa"/>
            <w:shd w:val="clear" w:color="auto" w:fill="auto"/>
            <w:vAlign w:val="bottom"/>
          </w:tcPr>
          <w:p>
            <w:pPr>
              <w:jc w:val="center"/>
              <w:rPr>
                <w:rFonts w:ascii="宋体" w:hAnsi="宋体" w:cs="宋体"/>
                <w:color w:val="000000"/>
                <w:sz w:val="21"/>
                <w:szCs w:val="21"/>
              </w:rPr>
            </w:pPr>
          </w:p>
        </w:tc>
        <w:tc>
          <w:tcPr>
            <w:tcW w:w="100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1212.3</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23.7</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51.9</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34.6</w:t>
            </w:r>
          </w:p>
        </w:tc>
        <w:tc>
          <w:tcPr>
            <w:tcW w:w="95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2.4</w:t>
            </w:r>
          </w:p>
        </w:tc>
        <w:tc>
          <w:tcPr>
            <w:tcW w:w="95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17.3</w:t>
            </w:r>
          </w:p>
        </w:tc>
        <w:tc>
          <w:tcPr>
            <w:tcW w:w="842" w:type="dxa"/>
            <w:shd w:val="clear" w:color="auto" w:fill="auto"/>
            <w:vAlign w:val="bottom"/>
          </w:tcPr>
          <w:p>
            <w:pPr>
              <w:jc w:val="center"/>
              <w:rPr>
                <w:rFonts w:ascii="宋体" w:hAnsi="宋体" w:cs="宋体"/>
                <w:color w:val="000000"/>
                <w:sz w:val="21"/>
                <w:szCs w:val="21"/>
              </w:rPr>
            </w:pPr>
          </w:p>
        </w:tc>
        <w:tc>
          <w:tcPr>
            <w:tcW w:w="739" w:type="dxa"/>
            <w:shd w:val="clear" w:color="auto" w:fill="auto"/>
            <w:vAlign w:val="bottom"/>
          </w:tcPr>
          <w:p>
            <w:pPr>
              <w:jc w:val="center"/>
              <w:rPr>
                <w:rFonts w:ascii="宋体" w:hAnsi="宋体" w:cs="宋体"/>
                <w:color w:val="000000"/>
                <w:sz w:val="21"/>
                <w:szCs w:val="21"/>
              </w:rPr>
            </w:pPr>
          </w:p>
        </w:tc>
        <w:tc>
          <w:tcPr>
            <w:tcW w:w="771" w:type="dxa"/>
            <w:shd w:val="clear" w:color="auto" w:fill="auto"/>
            <w:vAlign w:val="bottom"/>
          </w:tcPr>
          <w:p>
            <w:pPr>
              <w:jc w:val="center"/>
              <w:rPr>
                <w:rFonts w:ascii="宋体" w:hAnsi="宋体" w:cs="宋体"/>
                <w:color w:val="000000"/>
                <w:sz w:val="21"/>
                <w:szCs w:val="21"/>
              </w:rPr>
            </w:pPr>
          </w:p>
        </w:tc>
        <w:tc>
          <w:tcPr>
            <w:tcW w:w="950" w:type="dxa"/>
            <w:shd w:val="clear" w:color="auto" w:fill="auto"/>
            <w:vAlign w:val="bottom"/>
          </w:tcPr>
          <w:p>
            <w:pPr>
              <w:jc w:val="center"/>
              <w:rPr>
                <w:rFonts w:ascii="宋体" w:hAnsi="宋体" w:cs="宋体"/>
                <w:color w:val="000000"/>
                <w:sz w:val="21"/>
                <w:szCs w:val="21"/>
              </w:rPr>
            </w:pP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108.0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26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中堡村</w:t>
            </w:r>
          </w:p>
        </w:tc>
        <w:tc>
          <w:tcPr>
            <w:tcW w:w="91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371.2</w:t>
            </w:r>
          </w:p>
        </w:tc>
        <w:tc>
          <w:tcPr>
            <w:tcW w:w="1076"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256.4</w:t>
            </w:r>
          </w:p>
        </w:tc>
        <w:tc>
          <w:tcPr>
            <w:tcW w:w="843" w:type="dxa"/>
            <w:shd w:val="clear" w:color="auto" w:fill="auto"/>
            <w:vAlign w:val="bottom"/>
          </w:tcPr>
          <w:p>
            <w:pPr>
              <w:jc w:val="center"/>
              <w:rPr>
                <w:rFonts w:ascii="宋体" w:hAnsi="宋体" w:cs="宋体"/>
                <w:color w:val="000000"/>
                <w:sz w:val="21"/>
                <w:szCs w:val="21"/>
              </w:rPr>
            </w:pPr>
          </w:p>
        </w:tc>
        <w:tc>
          <w:tcPr>
            <w:tcW w:w="100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1622.8</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24.1</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49.7</w:t>
            </w:r>
          </w:p>
        </w:tc>
        <w:tc>
          <w:tcPr>
            <w:tcW w:w="98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3.4</w:t>
            </w:r>
          </w:p>
        </w:tc>
        <w:tc>
          <w:tcPr>
            <w:tcW w:w="95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w:t>
            </w:r>
          </w:p>
        </w:tc>
        <w:tc>
          <w:tcPr>
            <w:tcW w:w="95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46.3</w:t>
            </w:r>
          </w:p>
        </w:tc>
        <w:tc>
          <w:tcPr>
            <w:tcW w:w="842" w:type="dxa"/>
            <w:shd w:val="clear" w:color="auto" w:fill="auto"/>
            <w:vAlign w:val="bottom"/>
          </w:tcPr>
          <w:p>
            <w:pPr>
              <w:jc w:val="center"/>
              <w:rPr>
                <w:rFonts w:ascii="宋体" w:hAnsi="宋体" w:cs="宋体"/>
                <w:color w:val="000000"/>
                <w:sz w:val="21"/>
                <w:szCs w:val="21"/>
              </w:rPr>
            </w:pPr>
          </w:p>
        </w:tc>
        <w:tc>
          <w:tcPr>
            <w:tcW w:w="739" w:type="dxa"/>
            <w:shd w:val="clear" w:color="auto" w:fill="auto"/>
            <w:vAlign w:val="bottom"/>
          </w:tcPr>
          <w:p>
            <w:pPr>
              <w:jc w:val="center"/>
              <w:rPr>
                <w:rFonts w:ascii="宋体" w:hAnsi="宋体" w:cs="宋体"/>
                <w:color w:val="000000"/>
                <w:sz w:val="21"/>
                <w:szCs w:val="21"/>
              </w:rPr>
            </w:pPr>
          </w:p>
        </w:tc>
        <w:tc>
          <w:tcPr>
            <w:tcW w:w="771" w:type="dxa"/>
            <w:shd w:val="clear" w:color="auto" w:fill="auto"/>
            <w:vAlign w:val="bottom"/>
          </w:tcPr>
          <w:p>
            <w:pPr>
              <w:jc w:val="center"/>
              <w:rPr>
                <w:rFonts w:ascii="宋体" w:hAnsi="宋体" w:cs="宋体"/>
                <w:color w:val="000000"/>
                <w:sz w:val="21"/>
                <w:szCs w:val="21"/>
              </w:rPr>
            </w:pPr>
          </w:p>
        </w:tc>
        <w:tc>
          <w:tcPr>
            <w:tcW w:w="950" w:type="dxa"/>
            <w:shd w:val="clear" w:color="auto" w:fill="auto"/>
            <w:vAlign w:val="bottom"/>
          </w:tcPr>
          <w:p>
            <w:pPr>
              <w:jc w:val="center"/>
              <w:rPr>
                <w:rFonts w:ascii="宋体" w:hAnsi="宋体" w:cs="宋体"/>
                <w:color w:val="000000"/>
                <w:sz w:val="21"/>
                <w:szCs w:val="21"/>
              </w:rPr>
            </w:pPr>
          </w:p>
        </w:tc>
        <w:tc>
          <w:tcPr>
            <w:tcW w:w="953"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112.0</w:t>
            </w:r>
          </w:p>
        </w:tc>
      </w:tr>
    </w:tbl>
    <w:p>
      <w:pPr>
        <w:ind w:firstLine="420" w:firstLineChars="200"/>
        <w:rPr>
          <w:rFonts w:eastAsia="仿宋"/>
          <w:szCs w:val="21"/>
        </w:rPr>
      </w:pPr>
      <w:r>
        <w:rPr>
          <w:rFonts w:eastAsia="仿宋"/>
          <w:szCs w:val="21"/>
        </w:rPr>
        <w:t>备注：</w:t>
      </w:r>
      <w:r>
        <w:rPr>
          <w:rFonts w:hint="eastAsia" w:eastAsia="仿宋"/>
          <w:szCs w:val="21"/>
        </w:rPr>
        <w:t>表中新增建设用地、建设占用农用地、建设占用耕地、土地整治补充耕地规模为2015-2020年指标，其他调整指标均为调整后2020年指标</w:t>
      </w:r>
      <w:r>
        <w:rPr>
          <w:rFonts w:eastAsia="仿宋"/>
          <w:szCs w:val="21"/>
        </w:rPr>
        <w:t>。</w:t>
      </w:r>
    </w:p>
    <w:p>
      <w:pPr>
        <w:ind w:firstLine="420" w:firstLineChars="200"/>
        <w:rPr>
          <w:rFonts w:eastAsia="仿宋"/>
          <w:szCs w:val="21"/>
        </w:rPr>
      </w:pPr>
    </w:p>
    <w:p>
      <w:pPr>
        <w:ind w:firstLine="420" w:firstLineChars="200"/>
        <w:rPr>
          <w:rFonts w:eastAsia="仿宋"/>
          <w:szCs w:val="21"/>
        </w:rPr>
        <w:sectPr>
          <w:pgSz w:w="16838" w:h="11906" w:orient="landscape"/>
          <w:pgMar w:top="1531" w:right="1418" w:bottom="1418" w:left="1418" w:header="851" w:footer="992" w:gutter="227"/>
          <w:cols w:space="425" w:num="1"/>
          <w:docGrid w:type="lines" w:linePitch="312" w:charSpace="0"/>
        </w:sectPr>
      </w:pPr>
    </w:p>
    <w:p>
      <w:pPr>
        <w:pStyle w:val="4"/>
        <w:numPr>
          <w:ilvl w:val="0"/>
          <w:numId w:val="22"/>
        </w:numPr>
        <w:spacing w:before="0" w:after="0" w:line="240" w:lineRule="auto"/>
        <w:jc w:val="left"/>
        <w:rPr>
          <w:rFonts w:eastAsia="黑体"/>
          <w:b w:val="0"/>
          <w:sz w:val="28"/>
          <w:szCs w:val="28"/>
        </w:rPr>
      </w:pPr>
      <w:r>
        <w:rPr>
          <w:rFonts w:hint="eastAsia" w:eastAsia="黑体"/>
          <w:b w:val="0"/>
          <w:sz w:val="28"/>
          <w:szCs w:val="28"/>
        </w:rPr>
        <w:t xml:space="preserve">                            南山城镇</w:t>
      </w:r>
      <w:r>
        <w:rPr>
          <w:rFonts w:eastAsia="黑体"/>
          <w:b w:val="0"/>
          <w:sz w:val="28"/>
          <w:szCs w:val="28"/>
        </w:rPr>
        <w:t>耕地保有量变化情况表</w:t>
      </w:r>
    </w:p>
    <w:p>
      <w:pPr>
        <w:jc w:val="right"/>
      </w:pPr>
      <w:r>
        <w:rPr>
          <w:rFonts w:eastAsia="仿宋"/>
          <w:szCs w:val="21"/>
        </w:rPr>
        <w:t>单位：公顷</w:t>
      </w:r>
    </w:p>
    <w:tbl>
      <w:tblPr>
        <w:tblStyle w:val="26"/>
        <w:tblW w:w="14218" w:type="dxa"/>
        <w:tblInd w:w="0" w:type="dxa"/>
        <w:tblLayout w:type="fixed"/>
        <w:tblCellMar>
          <w:top w:w="0" w:type="dxa"/>
          <w:left w:w="108" w:type="dxa"/>
          <w:bottom w:w="0" w:type="dxa"/>
          <w:right w:w="108" w:type="dxa"/>
        </w:tblCellMar>
      </w:tblPr>
      <w:tblGrid>
        <w:gridCol w:w="1094"/>
        <w:gridCol w:w="1279"/>
        <w:gridCol w:w="1135"/>
        <w:gridCol w:w="1132"/>
        <w:gridCol w:w="1137"/>
        <w:gridCol w:w="1135"/>
        <w:gridCol w:w="1132"/>
        <w:gridCol w:w="995"/>
        <w:gridCol w:w="1132"/>
        <w:gridCol w:w="1570"/>
        <w:gridCol w:w="1126"/>
        <w:gridCol w:w="1351"/>
      </w:tblGrid>
      <w:tr>
        <w:tblPrEx>
          <w:tblLayout w:type="fixed"/>
          <w:tblCellMar>
            <w:top w:w="0" w:type="dxa"/>
            <w:left w:w="108" w:type="dxa"/>
            <w:bottom w:w="0" w:type="dxa"/>
            <w:right w:w="108" w:type="dxa"/>
          </w:tblCellMar>
        </w:tblPrEx>
        <w:trPr>
          <w:trHeight w:val="20" w:hRule="atLeast"/>
          <w:tblHeader/>
        </w:trPr>
        <w:tc>
          <w:tcPr>
            <w:tcW w:w="1094" w:type="dxa"/>
            <w:vMerge w:val="restart"/>
            <w:tcBorders>
              <w:top w:val="double" w:color="auto" w:sz="6" w:space="0"/>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hint="eastAsia" w:eastAsia="仿宋"/>
                <w:b/>
                <w:bCs/>
                <w:kern w:val="0"/>
                <w:szCs w:val="21"/>
              </w:rPr>
              <w:t>行政区域</w:t>
            </w:r>
          </w:p>
        </w:tc>
        <w:tc>
          <w:tcPr>
            <w:tcW w:w="4683" w:type="dxa"/>
            <w:gridSpan w:val="4"/>
            <w:tcBorders>
              <w:top w:val="double" w:color="auto" w:sz="6" w:space="0"/>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规划期间补充耕地</w:t>
            </w:r>
          </w:p>
        </w:tc>
        <w:tc>
          <w:tcPr>
            <w:tcW w:w="5964" w:type="dxa"/>
            <w:gridSpan w:val="5"/>
            <w:tcBorders>
              <w:top w:val="double" w:color="auto" w:sz="6" w:space="0"/>
              <w:left w:val="nil"/>
              <w:bottom w:val="single" w:color="auto" w:sz="4" w:space="0"/>
              <w:right w:val="single" w:color="auto" w:sz="4" w:space="0"/>
            </w:tcBorders>
          </w:tcPr>
          <w:p>
            <w:pPr>
              <w:widowControl/>
              <w:jc w:val="center"/>
              <w:rPr>
                <w:rFonts w:eastAsia="仿宋"/>
                <w:b/>
                <w:bCs/>
                <w:kern w:val="0"/>
                <w:szCs w:val="21"/>
              </w:rPr>
            </w:pPr>
            <w:r>
              <w:rPr>
                <w:rFonts w:eastAsia="仿宋"/>
                <w:b/>
                <w:bCs/>
                <w:kern w:val="0"/>
                <w:szCs w:val="21"/>
              </w:rPr>
              <w:t>规划期间减少耕地</w:t>
            </w:r>
          </w:p>
        </w:tc>
        <w:tc>
          <w:tcPr>
            <w:tcW w:w="1126" w:type="dxa"/>
            <w:vMerge w:val="restart"/>
            <w:tcBorders>
              <w:top w:val="double" w:color="auto" w:sz="6" w:space="0"/>
              <w:left w:val="single" w:color="auto" w:sz="4" w:space="0"/>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规划期间净增减</w:t>
            </w:r>
          </w:p>
        </w:tc>
        <w:tc>
          <w:tcPr>
            <w:tcW w:w="1351" w:type="dxa"/>
            <w:vMerge w:val="restart"/>
            <w:tcBorders>
              <w:top w:val="double" w:color="auto" w:sz="6" w:space="0"/>
              <w:left w:val="single" w:color="auto" w:sz="4" w:space="0"/>
              <w:bottom w:val="single" w:color="auto" w:sz="4" w:space="0"/>
              <w:right w:val="nil"/>
            </w:tcBorders>
            <w:shd w:val="clear" w:color="auto" w:fill="auto"/>
            <w:vAlign w:val="center"/>
          </w:tcPr>
          <w:p>
            <w:pPr>
              <w:widowControl/>
              <w:jc w:val="center"/>
              <w:rPr>
                <w:rFonts w:eastAsia="仿宋"/>
                <w:b/>
                <w:bCs/>
                <w:kern w:val="0"/>
                <w:szCs w:val="21"/>
              </w:rPr>
            </w:pPr>
            <w:r>
              <w:rPr>
                <w:rFonts w:eastAsia="仿宋"/>
                <w:b/>
                <w:bCs/>
                <w:kern w:val="0"/>
                <w:szCs w:val="21"/>
              </w:rPr>
              <w:t>规划期末耕地保有量</w:t>
            </w:r>
          </w:p>
        </w:tc>
      </w:tr>
      <w:tr>
        <w:tblPrEx>
          <w:tblLayout w:type="fixed"/>
          <w:tblCellMar>
            <w:top w:w="0" w:type="dxa"/>
            <w:left w:w="108" w:type="dxa"/>
            <w:bottom w:w="0" w:type="dxa"/>
            <w:right w:w="108" w:type="dxa"/>
          </w:tblCellMar>
        </w:tblPrEx>
        <w:trPr>
          <w:trHeight w:val="20" w:hRule="atLeast"/>
          <w:tblHeader/>
        </w:trPr>
        <w:tc>
          <w:tcPr>
            <w:tcW w:w="1094" w:type="dxa"/>
            <w:vMerge w:val="continue"/>
            <w:tcBorders>
              <w:top w:val="double" w:color="auto" w:sz="6" w:space="0"/>
              <w:left w:val="nil"/>
              <w:bottom w:val="single" w:color="auto" w:sz="4" w:space="0"/>
              <w:right w:val="single" w:color="auto" w:sz="4" w:space="0"/>
            </w:tcBorders>
            <w:vAlign w:val="center"/>
          </w:tcPr>
          <w:p>
            <w:pPr>
              <w:widowControl/>
              <w:jc w:val="center"/>
              <w:rPr>
                <w:rFonts w:eastAsia="仿宋"/>
                <w:b/>
                <w:bCs/>
                <w:kern w:val="0"/>
                <w:szCs w:val="21"/>
              </w:rPr>
            </w:pPr>
          </w:p>
        </w:tc>
        <w:tc>
          <w:tcPr>
            <w:tcW w:w="1279"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增加合计</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土地整理</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土地复垦</w:t>
            </w: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土地开发</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减少合计</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建设占用</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灾毁</w:t>
            </w:r>
          </w:p>
        </w:tc>
        <w:tc>
          <w:tcPr>
            <w:tcW w:w="1132" w:type="dxa"/>
            <w:tcBorders>
              <w:top w:val="single" w:color="auto" w:sz="4" w:space="0"/>
              <w:left w:val="nil"/>
              <w:bottom w:val="single" w:color="auto" w:sz="4" w:space="0"/>
              <w:right w:val="single" w:color="auto" w:sz="4" w:space="0"/>
            </w:tcBorders>
            <w:vAlign w:val="center"/>
          </w:tcPr>
          <w:p>
            <w:pPr>
              <w:widowControl/>
              <w:jc w:val="center"/>
              <w:rPr>
                <w:rFonts w:eastAsia="仿宋"/>
                <w:b/>
                <w:bCs/>
                <w:kern w:val="0"/>
                <w:szCs w:val="21"/>
              </w:rPr>
            </w:pPr>
            <w:r>
              <w:rPr>
                <w:rFonts w:eastAsia="仿宋"/>
                <w:b/>
                <w:bCs/>
                <w:kern w:val="0"/>
                <w:szCs w:val="21"/>
              </w:rPr>
              <w:t>生态退耕</w:t>
            </w:r>
          </w:p>
        </w:tc>
        <w:tc>
          <w:tcPr>
            <w:tcW w:w="1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农业结构调整</w:t>
            </w:r>
          </w:p>
        </w:tc>
        <w:tc>
          <w:tcPr>
            <w:tcW w:w="1126" w:type="dxa"/>
            <w:vMerge w:val="continue"/>
            <w:tcBorders>
              <w:top w:val="double" w:color="auto" w:sz="6" w:space="0"/>
              <w:left w:val="single" w:color="auto" w:sz="4" w:space="0"/>
              <w:bottom w:val="single" w:color="auto" w:sz="4" w:space="0"/>
              <w:right w:val="single" w:color="auto" w:sz="4" w:space="0"/>
            </w:tcBorders>
            <w:vAlign w:val="center"/>
          </w:tcPr>
          <w:p>
            <w:pPr>
              <w:widowControl/>
              <w:jc w:val="center"/>
              <w:rPr>
                <w:rFonts w:eastAsia="仿宋"/>
                <w:b/>
                <w:bCs/>
                <w:kern w:val="0"/>
                <w:szCs w:val="21"/>
              </w:rPr>
            </w:pPr>
          </w:p>
        </w:tc>
        <w:tc>
          <w:tcPr>
            <w:tcW w:w="1351" w:type="dxa"/>
            <w:vMerge w:val="continue"/>
            <w:tcBorders>
              <w:top w:val="double" w:color="auto" w:sz="6" w:space="0"/>
              <w:left w:val="single" w:color="auto" w:sz="4" w:space="0"/>
              <w:bottom w:val="single" w:color="auto" w:sz="4" w:space="0"/>
              <w:right w:val="nil"/>
            </w:tcBorders>
            <w:vAlign w:val="center"/>
          </w:tcPr>
          <w:p>
            <w:pPr>
              <w:widowControl/>
              <w:jc w:val="center"/>
              <w:rPr>
                <w:rFonts w:eastAsia="仿宋"/>
                <w:b/>
                <w:bCs/>
                <w:kern w:val="0"/>
                <w:szCs w:val="21"/>
              </w:rPr>
            </w:pP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大北岔村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20.3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20.3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-20.3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213.4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大枉沟村</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21.2 </w:t>
            </w: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21.2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30.6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30.6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-9.4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127.4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大秧上堡村</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6.5 </w:t>
            </w: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6.5 </w:t>
            </w: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41.7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41.7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-35.2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403.4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东庙村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22.3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0.2 </w:t>
            </w: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22.1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-22.3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286.8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东五里堡村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33.1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0.3 </w:t>
            </w: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32.8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-33.1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367.7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二道河村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14.8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4.0 </w:t>
            </w: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10.8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-14.8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199.4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甘井子村</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30.0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30.0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77.4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0.2 </w:t>
            </w: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77.2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-47.4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477.2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黑石头村</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20.0 </w:t>
            </w: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20.0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70.5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20.0 </w:t>
            </w: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50.5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-50.5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535.5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九道沟村</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20.0 </w:t>
            </w: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20.0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42.0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0.2 </w:t>
            </w: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41.8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-22.0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273.7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靠山屯村</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8.0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8.0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30.4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1.7 </w:t>
            </w: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28.7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-22.4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239.9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龙头堡村</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6.0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6.0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73.6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2.0 </w:t>
            </w: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71.6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-67.6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701.6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南山城村</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6.0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6.0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72.1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0.4 </w:t>
            </w: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71.7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-66.1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672.1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南小堡村</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15.0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15.0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40.4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40.4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-25.4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288.6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三道河村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30.5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30.5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-30.5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427.0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三道岭村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40.3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40.3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-40.3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508.4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三盛堡村</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12.2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12.2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57.3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30.0 </w:t>
            </w: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27.3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-45.1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522.1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四道碱场村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58.3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58.3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-58.3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555.9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太平甸村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35.4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35.4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-35.4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371.0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苇塘村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21.0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21.0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-21.0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250.3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下堡村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31.1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31.1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-31.1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351.9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秀水甸村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39.4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39.4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-39.4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456.5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杨树崴子村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37.5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37.5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-37.5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364.7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中堡村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26.4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26.4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-26.4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371.2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规划期末</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144.9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77.2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6.5 </w:t>
            </w:r>
          </w:p>
        </w:tc>
        <w:tc>
          <w:tcPr>
            <w:tcW w:w="113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61.2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946.4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3.0 </w:t>
            </w:r>
          </w:p>
        </w:tc>
        <w:tc>
          <w:tcPr>
            <w:tcW w:w="99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6.0 </w:t>
            </w:r>
          </w:p>
        </w:tc>
        <w:tc>
          <w:tcPr>
            <w:tcW w:w="1132"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50.0 </w:t>
            </w: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887.4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-801.5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8965.7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double" w:color="auto" w:sz="6"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年均增减</w:t>
            </w:r>
          </w:p>
        </w:tc>
        <w:tc>
          <w:tcPr>
            <w:tcW w:w="1279"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29.0 </w:t>
            </w:r>
          </w:p>
        </w:tc>
        <w:tc>
          <w:tcPr>
            <w:tcW w:w="1135"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15.4 </w:t>
            </w:r>
          </w:p>
        </w:tc>
        <w:tc>
          <w:tcPr>
            <w:tcW w:w="1132"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1.3 </w:t>
            </w:r>
          </w:p>
        </w:tc>
        <w:tc>
          <w:tcPr>
            <w:tcW w:w="1137"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12.2 </w:t>
            </w:r>
          </w:p>
        </w:tc>
        <w:tc>
          <w:tcPr>
            <w:tcW w:w="1135"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189.3 </w:t>
            </w:r>
          </w:p>
        </w:tc>
        <w:tc>
          <w:tcPr>
            <w:tcW w:w="1132"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0.6 </w:t>
            </w:r>
          </w:p>
        </w:tc>
        <w:tc>
          <w:tcPr>
            <w:tcW w:w="995"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1.2 </w:t>
            </w:r>
          </w:p>
        </w:tc>
        <w:tc>
          <w:tcPr>
            <w:tcW w:w="1132" w:type="dxa"/>
            <w:tcBorders>
              <w:top w:val="single" w:color="auto" w:sz="4" w:space="0"/>
              <w:left w:val="nil"/>
              <w:bottom w:val="double" w:color="auto" w:sz="6" w:space="0"/>
              <w:right w:val="single" w:color="auto" w:sz="4" w:space="0"/>
            </w:tcBorders>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10.0 </w:t>
            </w:r>
          </w:p>
        </w:tc>
        <w:tc>
          <w:tcPr>
            <w:tcW w:w="1570" w:type="dxa"/>
            <w:tcBorders>
              <w:top w:val="nil"/>
              <w:left w:val="single" w:color="auto" w:sz="4" w:space="0"/>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177.5 </w:t>
            </w:r>
          </w:p>
        </w:tc>
        <w:tc>
          <w:tcPr>
            <w:tcW w:w="1126"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-160.3 </w:t>
            </w:r>
          </w:p>
        </w:tc>
        <w:tc>
          <w:tcPr>
            <w:tcW w:w="1351" w:type="dxa"/>
            <w:tcBorders>
              <w:top w:val="nil"/>
              <w:left w:val="nil"/>
              <w:bottom w:val="double" w:color="auto" w:sz="6" w:space="0"/>
              <w:right w:val="nil"/>
            </w:tcBorders>
            <w:shd w:val="clear" w:color="auto" w:fill="auto"/>
            <w:vAlign w:val="center"/>
          </w:tcPr>
          <w:p>
            <w:pPr>
              <w:widowControl/>
              <w:jc w:val="center"/>
              <w:rPr>
                <w:rFonts w:eastAsia="仿宋"/>
                <w:b/>
                <w:bCs/>
                <w:kern w:val="0"/>
                <w:sz w:val="21"/>
                <w:szCs w:val="21"/>
              </w:rPr>
            </w:pPr>
            <w:r>
              <w:rPr>
                <w:rFonts w:eastAsia="仿宋"/>
                <w:b/>
                <w:bCs/>
                <w:kern w:val="0"/>
                <w:sz w:val="21"/>
                <w:szCs w:val="21"/>
              </w:rPr>
              <w:t>——</w:t>
            </w:r>
          </w:p>
        </w:tc>
      </w:tr>
    </w:tbl>
    <w:p>
      <w:pPr>
        <w:ind w:firstLine="420" w:firstLineChars="200"/>
        <w:rPr>
          <w:rFonts w:eastAsia="仿宋"/>
          <w:szCs w:val="21"/>
        </w:rPr>
      </w:pPr>
    </w:p>
    <w:p>
      <w:pPr>
        <w:ind w:firstLine="420" w:firstLineChars="200"/>
        <w:rPr>
          <w:rFonts w:eastAsia="仿宋"/>
          <w:szCs w:val="21"/>
        </w:rPr>
      </w:pPr>
    </w:p>
    <w:p>
      <w:pPr>
        <w:ind w:firstLine="562" w:firstLineChars="200"/>
        <w:rPr>
          <w:rFonts w:eastAsia="黑体"/>
          <w:b/>
          <w:sz w:val="28"/>
          <w:szCs w:val="28"/>
        </w:rPr>
        <w:sectPr>
          <w:pgSz w:w="16838" w:h="11906" w:orient="landscape"/>
          <w:pgMar w:top="1531" w:right="1418" w:bottom="1418" w:left="1418" w:header="851" w:footer="992" w:gutter="227"/>
          <w:cols w:space="425" w:num="1"/>
          <w:docGrid w:type="lines" w:linePitch="312" w:charSpace="0"/>
        </w:sectPr>
      </w:pPr>
      <w:bookmarkStart w:id="72" w:name="_Toc258513432"/>
      <w:r>
        <w:rPr>
          <w:rFonts w:eastAsia="黑体"/>
          <w:b/>
          <w:sz w:val="28"/>
          <w:szCs w:val="28"/>
        </w:rPr>
        <w:t xml:space="preserve">       </w:t>
      </w:r>
      <w:r>
        <w:rPr>
          <w:rFonts w:hint="eastAsia" w:eastAsia="黑体"/>
          <w:b/>
          <w:sz w:val="28"/>
          <w:szCs w:val="28"/>
        </w:rPr>
        <w:t xml:space="preserve">  </w:t>
      </w:r>
      <w:bookmarkStart w:id="73" w:name="_Toc281205922"/>
      <w:bookmarkStart w:id="74" w:name="_Toc261940462"/>
    </w:p>
    <w:p>
      <w:pPr>
        <w:pStyle w:val="4"/>
        <w:numPr>
          <w:ilvl w:val="0"/>
          <w:numId w:val="22"/>
        </w:numPr>
        <w:spacing w:before="0" w:after="0" w:line="240" w:lineRule="auto"/>
        <w:jc w:val="left"/>
        <w:rPr>
          <w:rFonts w:eastAsia="黑体"/>
          <w:b w:val="0"/>
          <w:sz w:val="28"/>
          <w:szCs w:val="28"/>
        </w:rPr>
      </w:pPr>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bookmarkEnd w:id="73"/>
      <w:bookmarkEnd w:id="74"/>
      <w:r>
        <w:rPr>
          <w:rFonts w:hint="eastAsia" w:eastAsia="黑体"/>
          <w:b w:val="0"/>
          <w:sz w:val="28"/>
          <w:szCs w:val="28"/>
        </w:rPr>
        <w:t>南山城镇</w:t>
      </w:r>
      <w:r>
        <w:rPr>
          <w:rFonts w:eastAsia="黑体"/>
          <w:b w:val="0"/>
          <w:sz w:val="28"/>
          <w:szCs w:val="28"/>
        </w:rPr>
        <w:t>土地用途分区面积表</w:t>
      </w:r>
    </w:p>
    <w:p>
      <w:pPr>
        <w:ind w:firstLine="420" w:firstLineChars="200"/>
        <w:jc w:val="right"/>
        <w:rPr>
          <w:rFonts w:eastAsia="仿宋"/>
          <w:szCs w:val="21"/>
        </w:rPr>
      </w:pPr>
      <w:r>
        <w:rPr>
          <w:rFonts w:eastAsia="仿宋"/>
          <w:szCs w:val="21"/>
        </w:rPr>
        <w:t>单位：公顷</w:t>
      </w:r>
    </w:p>
    <w:tbl>
      <w:tblPr>
        <w:tblStyle w:val="26"/>
        <w:tblW w:w="13780" w:type="dxa"/>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2243"/>
        <w:gridCol w:w="1689"/>
        <w:gridCol w:w="1689"/>
        <w:gridCol w:w="1690"/>
        <w:gridCol w:w="1689"/>
        <w:gridCol w:w="1689"/>
        <w:gridCol w:w="1683"/>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tblHeader/>
        </w:trPr>
        <w:tc>
          <w:tcPr>
            <w:tcW w:w="1408" w:type="dxa"/>
            <w:shd w:val="clear" w:color="auto" w:fill="auto"/>
            <w:vAlign w:val="center"/>
          </w:tcPr>
          <w:p>
            <w:pPr>
              <w:widowControl/>
              <w:jc w:val="center"/>
              <w:rPr>
                <w:rFonts w:eastAsia="仿宋"/>
                <w:b/>
                <w:bCs/>
                <w:kern w:val="0"/>
                <w:szCs w:val="21"/>
              </w:rPr>
            </w:pPr>
            <w:r>
              <w:rPr>
                <w:rFonts w:hint="eastAsia" w:ascii="仿宋" w:hAnsi="仿宋" w:eastAsia="仿宋"/>
                <w:b/>
                <w:bCs/>
                <w:color w:val="000000"/>
                <w:kern w:val="0"/>
                <w:szCs w:val="21"/>
              </w:rPr>
              <w:t>行政区域</w:t>
            </w:r>
          </w:p>
        </w:tc>
        <w:tc>
          <w:tcPr>
            <w:tcW w:w="2243" w:type="dxa"/>
            <w:shd w:val="clear" w:color="auto" w:fill="auto"/>
            <w:vAlign w:val="center"/>
          </w:tcPr>
          <w:p>
            <w:pPr>
              <w:widowControl/>
              <w:jc w:val="center"/>
              <w:rPr>
                <w:rFonts w:eastAsia="仿宋"/>
                <w:b/>
                <w:bCs/>
                <w:kern w:val="0"/>
                <w:szCs w:val="21"/>
              </w:rPr>
            </w:pPr>
            <w:r>
              <w:rPr>
                <w:rFonts w:eastAsia="仿宋"/>
                <w:b/>
                <w:bCs/>
                <w:kern w:val="0"/>
                <w:szCs w:val="21"/>
              </w:rPr>
              <w:t>基本农田保护区</w:t>
            </w:r>
          </w:p>
        </w:tc>
        <w:tc>
          <w:tcPr>
            <w:tcW w:w="1689" w:type="dxa"/>
            <w:shd w:val="clear" w:color="auto" w:fill="auto"/>
            <w:vAlign w:val="center"/>
          </w:tcPr>
          <w:p>
            <w:pPr>
              <w:widowControl/>
              <w:jc w:val="center"/>
              <w:rPr>
                <w:rFonts w:eastAsia="仿宋"/>
                <w:b/>
                <w:bCs/>
                <w:kern w:val="0"/>
                <w:szCs w:val="21"/>
              </w:rPr>
            </w:pPr>
            <w:r>
              <w:rPr>
                <w:rFonts w:eastAsia="仿宋"/>
                <w:b/>
                <w:bCs/>
                <w:kern w:val="0"/>
                <w:szCs w:val="21"/>
              </w:rPr>
              <w:t>一般农地区</w:t>
            </w:r>
          </w:p>
        </w:tc>
        <w:tc>
          <w:tcPr>
            <w:tcW w:w="1689" w:type="dxa"/>
            <w:shd w:val="clear" w:color="auto" w:fill="auto"/>
            <w:vAlign w:val="center"/>
          </w:tcPr>
          <w:p>
            <w:pPr>
              <w:widowControl/>
              <w:jc w:val="center"/>
              <w:rPr>
                <w:rFonts w:eastAsia="仿宋"/>
                <w:b/>
                <w:bCs/>
                <w:kern w:val="0"/>
                <w:szCs w:val="21"/>
              </w:rPr>
            </w:pPr>
            <w:r>
              <w:rPr>
                <w:rFonts w:eastAsia="仿宋"/>
                <w:b/>
                <w:bCs/>
                <w:kern w:val="0"/>
                <w:szCs w:val="21"/>
              </w:rPr>
              <w:t>城镇建设</w:t>
            </w:r>
          </w:p>
          <w:p>
            <w:pPr>
              <w:widowControl/>
              <w:jc w:val="center"/>
              <w:rPr>
                <w:rFonts w:eastAsia="仿宋"/>
                <w:b/>
                <w:bCs/>
                <w:kern w:val="0"/>
                <w:szCs w:val="21"/>
              </w:rPr>
            </w:pPr>
            <w:r>
              <w:rPr>
                <w:rFonts w:eastAsia="仿宋"/>
                <w:b/>
                <w:bCs/>
                <w:kern w:val="0"/>
                <w:szCs w:val="21"/>
              </w:rPr>
              <w:t>用地区</w:t>
            </w:r>
          </w:p>
        </w:tc>
        <w:tc>
          <w:tcPr>
            <w:tcW w:w="1690" w:type="dxa"/>
            <w:shd w:val="clear" w:color="auto" w:fill="auto"/>
            <w:vAlign w:val="center"/>
          </w:tcPr>
          <w:p>
            <w:pPr>
              <w:widowControl/>
              <w:jc w:val="center"/>
              <w:rPr>
                <w:rFonts w:eastAsia="仿宋"/>
                <w:b/>
                <w:bCs/>
                <w:kern w:val="0"/>
                <w:szCs w:val="21"/>
              </w:rPr>
            </w:pPr>
            <w:r>
              <w:rPr>
                <w:rFonts w:hint="eastAsia" w:eastAsia="仿宋"/>
                <w:b/>
                <w:bCs/>
                <w:kern w:val="0"/>
                <w:szCs w:val="21"/>
              </w:rPr>
              <w:t>村</w:t>
            </w:r>
            <w:r>
              <w:rPr>
                <w:rFonts w:eastAsia="仿宋"/>
                <w:b/>
                <w:bCs/>
                <w:kern w:val="0"/>
                <w:szCs w:val="21"/>
              </w:rPr>
              <w:t>镇建设</w:t>
            </w:r>
          </w:p>
          <w:p>
            <w:pPr>
              <w:widowControl/>
              <w:jc w:val="center"/>
              <w:rPr>
                <w:rFonts w:eastAsia="仿宋"/>
                <w:b/>
                <w:bCs/>
                <w:kern w:val="0"/>
                <w:szCs w:val="21"/>
              </w:rPr>
            </w:pPr>
            <w:r>
              <w:rPr>
                <w:rFonts w:eastAsia="仿宋"/>
                <w:b/>
                <w:bCs/>
                <w:kern w:val="0"/>
                <w:szCs w:val="21"/>
              </w:rPr>
              <w:t>用地区</w:t>
            </w:r>
          </w:p>
        </w:tc>
        <w:tc>
          <w:tcPr>
            <w:tcW w:w="1689" w:type="dxa"/>
            <w:vAlign w:val="center"/>
          </w:tcPr>
          <w:p>
            <w:pPr>
              <w:widowControl/>
              <w:jc w:val="center"/>
              <w:rPr>
                <w:rFonts w:eastAsia="仿宋"/>
                <w:b/>
                <w:bCs/>
                <w:kern w:val="0"/>
                <w:szCs w:val="21"/>
              </w:rPr>
            </w:pPr>
            <w:r>
              <w:rPr>
                <w:rFonts w:eastAsia="仿宋"/>
                <w:b/>
                <w:bCs/>
                <w:kern w:val="0"/>
                <w:szCs w:val="21"/>
              </w:rPr>
              <w:t>独立工矿区</w:t>
            </w:r>
          </w:p>
        </w:tc>
        <w:tc>
          <w:tcPr>
            <w:tcW w:w="1689" w:type="dxa"/>
            <w:shd w:val="clear" w:color="auto" w:fill="auto"/>
            <w:vAlign w:val="center"/>
          </w:tcPr>
          <w:p>
            <w:pPr>
              <w:widowControl/>
              <w:jc w:val="center"/>
              <w:rPr>
                <w:rFonts w:eastAsia="仿宋"/>
                <w:b/>
                <w:bCs/>
                <w:kern w:val="0"/>
                <w:szCs w:val="21"/>
              </w:rPr>
            </w:pPr>
            <w:r>
              <w:rPr>
                <w:rFonts w:eastAsia="仿宋"/>
                <w:b/>
                <w:bCs/>
                <w:kern w:val="0"/>
                <w:szCs w:val="21"/>
              </w:rPr>
              <w:t>生态环境</w:t>
            </w:r>
          </w:p>
          <w:p>
            <w:pPr>
              <w:widowControl/>
              <w:jc w:val="center"/>
              <w:rPr>
                <w:rFonts w:eastAsia="仿宋"/>
                <w:b/>
                <w:bCs/>
                <w:kern w:val="0"/>
                <w:szCs w:val="21"/>
              </w:rPr>
            </w:pPr>
            <w:r>
              <w:rPr>
                <w:rFonts w:eastAsia="仿宋"/>
                <w:b/>
                <w:bCs/>
                <w:kern w:val="0"/>
                <w:szCs w:val="21"/>
              </w:rPr>
              <w:t>安全控制区</w:t>
            </w:r>
          </w:p>
        </w:tc>
        <w:tc>
          <w:tcPr>
            <w:tcW w:w="1683" w:type="dxa"/>
            <w:shd w:val="clear" w:color="auto" w:fill="auto"/>
            <w:vAlign w:val="center"/>
          </w:tcPr>
          <w:p>
            <w:pPr>
              <w:widowControl/>
              <w:jc w:val="center"/>
              <w:rPr>
                <w:rFonts w:eastAsia="仿宋"/>
                <w:b/>
                <w:bCs/>
                <w:kern w:val="0"/>
                <w:szCs w:val="21"/>
              </w:rPr>
            </w:pPr>
            <w:r>
              <w:rPr>
                <w:rFonts w:eastAsia="仿宋"/>
                <w:b/>
                <w:bCs/>
                <w:kern w:val="0"/>
                <w:szCs w:val="21"/>
              </w:rPr>
              <w:t>林业用地区</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trPr>
        <w:tc>
          <w:tcPr>
            <w:tcW w:w="1408" w:type="dxa"/>
            <w:shd w:val="clear" w:color="auto" w:fill="auto"/>
            <w:vAlign w:val="center"/>
          </w:tcPr>
          <w:p>
            <w:pPr>
              <w:widowControl/>
              <w:jc w:val="center"/>
              <w:rPr>
                <w:b/>
                <w:color w:val="000000"/>
                <w:kern w:val="0"/>
                <w:szCs w:val="21"/>
              </w:rPr>
            </w:pPr>
            <w:r>
              <w:rPr>
                <w:rFonts w:hint="eastAsia" w:ascii="仿宋" w:hAnsi="仿宋" w:eastAsia="仿宋"/>
                <w:b/>
                <w:color w:val="000000"/>
                <w:kern w:val="0"/>
                <w:szCs w:val="21"/>
              </w:rPr>
              <w:t>南山城镇</w:t>
            </w:r>
          </w:p>
        </w:tc>
        <w:tc>
          <w:tcPr>
            <w:tcW w:w="224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6882.4</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4133.4</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75.2</w:t>
            </w:r>
          </w:p>
        </w:tc>
        <w:tc>
          <w:tcPr>
            <w:tcW w:w="169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464.9</w:t>
            </w:r>
          </w:p>
        </w:tc>
        <w:tc>
          <w:tcPr>
            <w:tcW w:w="1689" w:type="dxa"/>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12.9</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522.4</w:t>
            </w:r>
          </w:p>
        </w:tc>
        <w:tc>
          <w:tcPr>
            <w:tcW w:w="168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30597.1</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trPr>
        <w:tc>
          <w:tcPr>
            <w:tcW w:w="14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大北岔村</w:t>
            </w:r>
          </w:p>
        </w:tc>
        <w:tc>
          <w:tcPr>
            <w:tcW w:w="224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179.6</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80.9</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0.6</w:t>
            </w:r>
          </w:p>
        </w:tc>
        <w:tc>
          <w:tcPr>
            <w:tcW w:w="169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19.8</w:t>
            </w:r>
          </w:p>
        </w:tc>
        <w:tc>
          <w:tcPr>
            <w:tcW w:w="1689" w:type="dxa"/>
            <w:vAlign w:val="center"/>
          </w:tcPr>
          <w:p>
            <w:pPr>
              <w:jc w:val="center"/>
              <w:rPr>
                <w:rFonts w:hint="default" w:ascii="Times New Roman" w:hAnsi="Times New Roman" w:cs="Times New Roman"/>
                <w:color w:val="000000"/>
                <w:sz w:val="21"/>
                <w:szCs w:val="21"/>
              </w:rPr>
            </w:pP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22.5</w:t>
            </w:r>
          </w:p>
        </w:tc>
        <w:tc>
          <w:tcPr>
            <w:tcW w:w="168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2694.4</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trPr>
        <w:tc>
          <w:tcPr>
            <w:tcW w:w="14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大枉沟村</w:t>
            </w:r>
          </w:p>
        </w:tc>
        <w:tc>
          <w:tcPr>
            <w:tcW w:w="224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89.7</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75.2</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w:t>
            </w:r>
          </w:p>
        </w:tc>
        <w:tc>
          <w:tcPr>
            <w:tcW w:w="169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7.9</w:t>
            </w:r>
          </w:p>
        </w:tc>
        <w:tc>
          <w:tcPr>
            <w:tcW w:w="1689" w:type="dxa"/>
            <w:vAlign w:val="center"/>
          </w:tcPr>
          <w:p>
            <w:pPr>
              <w:jc w:val="center"/>
              <w:rPr>
                <w:rFonts w:hint="default" w:ascii="Times New Roman" w:hAnsi="Times New Roman" w:cs="Times New Roman"/>
                <w:color w:val="000000"/>
                <w:sz w:val="21"/>
                <w:szCs w:val="21"/>
              </w:rPr>
            </w:pP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61.4</w:t>
            </w:r>
          </w:p>
        </w:tc>
        <w:tc>
          <w:tcPr>
            <w:tcW w:w="168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2427.5</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trPr>
        <w:tc>
          <w:tcPr>
            <w:tcW w:w="14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大秧上堡村</w:t>
            </w:r>
          </w:p>
        </w:tc>
        <w:tc>
          <w:tcPr>
            <w:tcW w:w="224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353.9</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122.3</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w:t>
            </w:r>
          </w:p>
        </w:tc>
        <w:tc>
          <w:tcPr>
            <w:tcW w:w="169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24.4</w:t>
            </w:r>
          </w:p>
        </w:tc>
        <w:tc>
          <w:tcPr>
            <w:tcW w:w="1689" w:type="dxa"/>
            <w:vAlign w:val="center"/>
          </w:tcPr>
          <w:p>
            <w:pPr>
              <w:jc w:val="center"/>
              <w:rPr>
                <w:rFonts w:hint="default" w:ascii="Times New Roman" w:hAnsi="Times New Roman" w:cs="Times New Roman"/>
                <w:color w:val="000000"/>
                <w:sz w:val="21"/>
                <w:szCs w:val="21"/>
              </w:rPr>
            </w:pP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20.9</w:t>
            </w:r>
          </w:p>
        </w:tc>
        <w:tc>
          <w:tcPr>
            <w:tcW w:w="168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1013.1</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trPr>
        <w:tc>
          <w:tcPr>
            <w:tcW w:w="14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东庙村</w:t>
            </w:r>
          </w:p>
        </w:tc>
        <w:tc>
          <w:tcPr>
            <w:tcW w:w="224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243.3</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110.9</w:t>
            </w:r>
          </w:p>
        </w:tc>
        <w:tc>
          <w:tcPr>
            <w:tcW w:w="1689" w:type="dxa"/>
            <w:shd w:val="clear" w:color="auto" w:fill="auto"/>
            <w:vAlign w:val="center"/>
          </w:tcPr>
          <w:p>
            <w:pPr>
              <w:jc w:val="center"/>
              <w:rPr>
                <w:rFonts w:hint="default" w:ascii="Times New Roman" w:hAnsi="Times New Roman" w:cs="Times New Roman"/>
                <w:color w:val="000000"/>
                <w:sz w:val="21"/>
                <w:szCs w:val="21"/>
              </w:rPr>
            </w:pPr>
          </w:p>
        </w:tc>
        <w:tc>
          <w:tcPr>
            <w:tcW w:w="169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0.1</w:t>
            </w:r>
          </w:p>
        </w:tc>
        <w:tc>
          <w:tcPr>
            <w:tcW w:w="1689" w:type="dxa"/>
            <w:vAlign w:val="center"/>
          </w:tcPr>
          <w:p>
            <w:pPr>
              <w:jc w:val="center"/>
              <w:rPr>
                <w:rFonts w:hint="default" w:ascii="Times New Roman" w:hAnsi="Times New Roman" w:cs="Times New Roman"/>
                <w:color w:val="000000"/>
                <w:sz w:val="21"/>
                <w:szCs w:val="21"/>
              </w:rPr>
            </w:pPr>
          </w:p>
        </w:tc>
        <w:tc>
          <w:tcPr>
            <w:tcW w:w="1689" w:type="dxa"/>
            <w:shd w:val="clear" w:color="auto" w:fill="auto"/>
            <w:vAlign w:val="center"/>
          </w:tcPr>
          <w:p>
            <w:pPr>
              <w:jc w:val="center"/>
              <w:rPr>
                <w:rFonts w:hint="default" w:ascii="Times New Roman" w:hAnsi="Times New Roman" w:cs="Times New Roman"/>
                <w:color w:val="000000"/>
                <w:sz w:val="21"/>
                <w:szCs w:val="21"/>
              </w:rPr>
            </w:pPr>
          </w:p>
        </w:tc>
        <w:tc>
          <w:tcPr>
            <w:tcW w:w="168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1255.2</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trPr>
        <w:tc>
          <w:tcPr>
            <w:tcW w:w="14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东五里堡村</w:t>
            </w:r>
          </w:p>
        </w:tc>
        <w:tc>
          <w:tcPr>
            <w:tcW w:w="224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307.4</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168.3</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w:t>
            </w:r>
          </w:p>
        </w:tc>
        <w:tc>
          <w:tcPr>
            <w:tcW w:w="169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27.3</w:t>
            </w:r>
          </w:p>
        </w:tc>
        <w:tc>
          <w:tcPr>
            <w:tcW w:w="1689"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2.9</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24.0</w:t>
            </w:r>
          </w:p>
        </w:tc>
        <w:tc>
          <w:tcPr>
            <w:tcW w:w="168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1048.2</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trPr>
        <w:tc>
          <w:tcPr>
            <w:tcW w:w="14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二道河村</w:t>
            </w:r>
          </w:p>
        </w:tc>
        <w:tc>
          <w:tcPr>
            <w:tcW w:w="224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207.3</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49.1</w:t>
            </w:r>
          </w:p>
        </w:tc>
        <w:tc>
          <w:tcPr>
            <w:tcW w:w="1689" w:type="dxa"/>
            <w:shd w:val="clear" w:color="auto" w:fill="auto"/>
            <w:vAlign w:val="center"/>
          </w:tcPr>
          <w:p>
            <w:pPr>
              <w:jc w:val="center"/>
              <w:rPr>
                <w:rFonts w:hint="default" w:ascii="Times New Roman" w:hAnsi="Times New Roman" w:cs="Times New Roman"/>
                <w:color w:val="000000"/>
                <w:sz w:val="21"/>
                <w:szCs w:val="21"/>
              </w:rPr>
            </w:pPr>
          </w:p>
        </w:tc>
        <w:tc>
          <w:tcPr>
            <w:tcW w:w="1690" w:type="dxa"/>
            <w:shd w:val="clear" w:color="auto" w:fill="auto"/>
            <w:vAlign w:val="center"/>
          </w:tcPr>
          <w:p>
            <w:pPr>
              <w:jc w:val="center"/>
              <w:rPr>
                <w:rFonts w:hint="default" w:ascii="Times New Roman" w:hAnsi="Times New Roman" w:cs="Times New Roman"/>
                <w:color w:val="000000"/>
                <w:sz w:val="21"/>
                <w:szCs w:val="21"/>
              </w:rPr>
            </w:pPr>
          </w:p>
        </w:tc>
        <w:tc>
          <w:tcPr>
            <w:tcW w:w="1689" w:type="dxa"/>
            <w:vAlign w:val="center"/>
          </w:tcPr>
          <w:p>
            <w:pPr>
              <w:jc w:val="center"/>
              <w:rPr>
                <w:rFonts w:hint="default" w:ascii="Times New Roman" w:hAnsi="Times New Roman" w:cs="Times New Roman"/>
                <w:color w:val="000000"/>
                <w:sz w:val="21"/>
                <w:szCs w:val="21"/>
              </w:rPr>
            </w:pP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18.5</w:t>
            </w:r>
          </w:p>
        </w:tc>
        <w:tc>
          <w:tcPr>
            <w:tcW w:w="168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1059.0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trPr>
        <w:tc>
          <w:tcPr>
            <w:tcW w:w="14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甘井子村</w:t>
            </w:r>
          </w:p>
        </w:tc>
        <w:tc>
          <w:tcPr>
            <w:tcW w:w="224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408.0</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168.2</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0.4</w:t>
            </w:r>
          </w:p>
        </w:tc>
        <w:tc>
          <w:tcPr>
            <w:tcW w:w="169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50.7</w:t>
            </w:r>
          </w:p>
        </w:tc>
        <w:tc>
          <w:tcPr>
            <w:tcW w:w="1689"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0.5</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29.6</w:t>
            </w:r>
          </w:p>
        </w:tc>
        <w:tc>
          <w:tcPr>
            <w:tcW w:w="168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1045.0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trPr>
        <w:tc>
          <w:tcPr>
            <w:tcW w:w="14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黑石头村</w:t>
            </w:r>
          </w:p>
        </w:tc>
        <w:tc>
          <w:tcPr>
            <w:tcW w:w="224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364.8</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310.6</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w:t>
            </w:r>
          </w:p>
        </w:tc>
        <w:tc>
          <w:tcPr>
            <w:tcW w:w="169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35.1</w:t>
            </w:r>
          </w:p>
        </w:tc>
        <w:tc>
          <w:tcPr>
            <w:tcW w:w="1689" w:type="dxa"/>
            <w:vAlign w:val="center"/>
          </w:tcPr>
          <w:p>
            <w:pPr>
              <w:jc w:val="center"/>
              <w:rPr>
                <w:rFonts w:hint="default" w:ascii="Times New Roman" w:hAnsi="Times New Roman" w:cs="Times New Roman"/>
                <w:color w:val="000000"/>
                <w:sz w:val="21"/>
                <w:szCs w:val="21"/>
              </w:rPr>
            </w:pP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23.3</w:t>
            </w:r>
          </w:p>
        </w:tc>
        <w:tc>
          <w:tcPr>
            <w:tcW w:w="168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2565.5</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trPr>
        <w:tc>
          <w:tcPr>
            <w:tcW w:w="14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九道沟村</w:t>
            </w:r>
          </w:p>
        </w:tc>
        <w:tc>
          <w:tcPr>
            <w:tcW w:w="224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167.1</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171.1</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w:t>
            </w:r>
          </w:p>
        </w:tc>
        <w:tc>
          <w:tcPr>
            <w:tcW w:w="169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20.5</w:t>
            </w:r>
          </w:p>
        </w:tc>
        <w:tc>
          <w:tcPr>
            <w:tcW w:w="1689" w:type="dxa"/>
            <w:vAlign w:val="center"/>
          </w:tcPr>
          <w:p>
            <w:pPr>
              <w:jc w:val="center"/>
              <w:rPr>
                <w:rFonts w:hint="default" w:ascii="Times New Roman" w:hAnsi="Times New Roman" w:cs="Times New Roman"/>
                <w:color w:val="000000"/>
                <w:sz w:val="21"/>
                <w:szCs w:val="21"/>
              </w:rPr>
            </w:pP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29.5</w:t>
            </w:r>
          </w:p>
        </w:tc>
        <w:tc>
          <w:tcPr>
            <w:tcW w:w="168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2637.1</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trPr>
        <w:tc>
          <w:tcPr>
            <w:tcW w:w="14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靠山屯村</w:t>
            </w:r>
          </w:p>
        </w:tc>
        <w:tc>
          <w:tcPr>
            <w:tcW w:w="224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233.8</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71.5</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0.3</w:t>
            </w:r>
          </w:p>
        </w:tc>
        <w:tc>
          <w:tcPr>
            <w:tcW w:w="169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9.9</w:t>
            </w:r>
          </w:p>
        </w:tc>
        <w:tc>
          <w:tcPr>
            <w:tcW w:w="1689" w:type="dxa"/>
            <w:vAlign w:val="center"/>
          </w:tcPr>
          <w:p>
            <w:pPr>
              <w:jc w:val="center"/>
              <w:rPr>
                <w:rFonts w:hint="default" w:ascii="Times New Roman" w:hAnsi="Times New Roman" w:cs="Times New Roman"/>
                <w:color w:val="000000"/>
                <w:sz w:val="21"/>
                <w:szCs w:val="21"/>
              </w:rPr>
            </w:pP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10.9</w:t>
            </w:r>
          </w:p>
        </w:tc>
        <w:tc>
          <w:tcPr>
            <w:tcW w:w="168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163.2</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trPr>
        <w:tc>
          <w:tcPr>
            <w:tcW w:w="14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龙头堡村</w:t>
            </w:r>
          </w:p>
        </w:tc>
        <w:tc>
          <w:tcPr>
            <w:tcW w:w="224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379.3</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497.4</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w:t>
            </w:r>
          </w:p>
        </w:tc>
        <w:tc>
          <w:tcPr>
            <w:tcW w:w="169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31.0</w:t>
            </w:r>
          </w:p>
        </w:tc>
        <w:tc>
          <w:tcPr>
            <w:tcW w:w="1689" w:type="dxa"/>
            <w:vAlign w:val="center"/>
          </w:tcPr>
          <w:p>
            <w:pPr>
              <w:jc w:val="center"/>
              <w:rPr>
                <w:rFonts w:hint="default" w:ascii="Times New Roman" w:hAnsi="Times New Roman" w:cs="Times New Roman"/>
                <w:color w:val="000000"/>
                <w:sz w:val="21"/>
                <w:szCs w:val="21"/>
              </w:rPr>
            </w:pP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27.8</w:t>
            </w:r>
          </w:p>
        </w:tc>
        <w:tc>
          <w:tcPr>
            <w:tcW w:w="168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1160.8</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trPr>
        <w:tc>
          <w:tcPr>
            <w:tcW w:w="14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南山城村</w:t>
            </w:r>
          </w:p>
        </w:tc>
        <w:tc>
          <w:tcPr>
            <w:tcW w:w="224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513.6</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300.2</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55.0</w:t>
            </w:r>
          </w:p>
        </w:tc>
        <w:tc>
          <w:tcPr>
            <w:tcW w:w="169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34.0</w:t>
            </w:r>
          </w:p>
        </w:tc>
        <w:tc>
          <w:tcPr>
            <w:tcW w:w="1689"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6.4</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46.2</w:t>
            </w:r>
          </w:p>
        </w:tc>
        <w:tc>
          <w:tcPr>
            <w:tcW w:w="168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630.5</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trPr>
        <w:tc>
          <w:tcPr>
            <w:tcW w:w="14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南小堡村</w:t>
            </w:r>
          </w:p>
        </w:tc>
        <w:tc>
          <w:tcPr>
            <w:tcW w:w="224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221.9</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155.5</w:t>
            </w:r>
          </w:p>
        </w:tc>
        <w:tc>
          <w:tcPr>
            <w:tcW w:w="1689" w:type="dxa"/>
            <w:shd w:val="clear" w:color="auto" w:fill="auto"/>
            <w:vAlign w:val="center"/>
          </w:tcPr>
          <w:p>
            <w:pPr>
              <w:jc w:val="center"/>
              <w:rPr>
                <w:rFonts w:hint="default" w:ascii="Times New Roman" w:hAnsi="Times New Roman" w:cs="Times New Roman"/>
                <w:color w:val="000000"/>
                <w:sz w:val="21"/>
                <w:szCs w:val="21"/>
              </w:rPr>
            </w:pPr>
          </w:p>
        </w:tc>
        <w:tc>
          <w:tcPr>
            <w:tcW w:w="1690" w:type="dxa"/>
            <w:shd w:val="clear" w:color="auto" w:fill="auto"/>
            <w:vAlign w:val="center"/>
          </w:tcPr>
          <w:p>
            <w:pPr>
              <w:jc w:val="center"/>
              <w:rPr>
                <w:rFonts w:hint="default" w:ascii="Times New Roman" w:hAnsi="Times New Roman" w:cs="Times New Roman"/>
                <w:color w:val="000000"/>
                <w:sz w:val="21"/>
                <w:szCs w:val="21"/>
              </w:rPr>
            </w:pPr>
          </w:p>
        </w:tc>
        <w:tc>
          <w:tcPr>
            <w:tcW w:w="1689" w:type="dxa"/>
            <w:vAlign w:val="center"/>
          </w:tcPr>
          <w:p>
            <w:pPr>
              <w:jc w:val="center"/>
              <w:rPr>
                <w:rFonts w:hint="default" w:ascii="Times New Roman" w:hAnsi="Times New Roman" w:cs="Times New Roman"/>
                <w:color w:val="000000"/>
                <w:sz w:val="21"/>
                <w:szCs w:val="21"/>
              </w:rPr>
            </w:pPr>
          </w:p>
        </w:tc>
        <w:tc>
          <w:tcPr>
            <w:tcW w:w="1689" w:type="dxa"/>
            <w:shd w:val="clear" w:color="auto" w:fill="auto"/>
            <w:vAlign w:val="center"/>
          </w:tcPr>
          <w:p>
            <w:pPr>
              <w:jc w:val="center"/>
              <w:rPr>
                <w:rFonts w:hint="default" w:ascii="Times New Roman" w:hAnsi="Times New Roman" w:cs="Times New Roman"/>
                <w:color w:val="000000"/>
                <w:sz w:val="21"/>
                <w:szCs w:val="21"/>
              </w:rPr>
            </w:pPr>
          </w:p>
        </w:tc>
        <w:tc>
          <w:tcPr>
            <w:tcW w:w="168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298.8</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trPr>
        <w:tc>
          <w:tcPr>
            <w:tcW w:w="14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三道河村</w:t>
            </w:r>
          </w:p>
        </w:tc>
        <w:tc>
          <w:tcPr>
            <w:tcW w:w="224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357.2</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146.5</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w:t>
            </w:r>
          </w:p>
        </w:tc>
        <w:tc>
          <w:tcPr>
            <w:tcW w:w="169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16.4</w:t>
            </w:r>
          </w:p>
        </w:tc>
        <w:tc>
          <w:tcPr>
            <w:tcW w:w="1689" w:type="dxa"/>
            <w:vAlign w:val="center"/>
          </w:tcPr>
          <w:p>
            <w:pPr>
              <w:jc w:val="center"/>
              <w:rPr>
                <w:rFonts w:hint="default" w:ascii="Times New Roman" w:hAnsi="Times New Roman" w:cs="Times New Roman"/>
                <w:color w:val="000000"/>
                <w:sz w:val="21"/>
                <w:szCs w:val="21"/>
              </w:rPr>
            </w:pP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20.9</w:t>
            </w:r>
          </w:p>
        </w:tc>
        <w:tc>
          <w:tcPr>
            <w:tcW w:w="168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2168.0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trPr>
        <w:tc>
          <w:tcPr>
            <w:tcW w:w="14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三道岭村</w:t>
            </w:r>
          </w:p>
        </w:tc>
        <w:tc>
          <w:tcPr>
            <w:tcW w:w="224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429.0</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161.7</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0.3</w:t>
            </w:r>
          </w:p>
        </w:tc>
        <w:tc>
          <w:tcPr>
            <w:tcW w:w="169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28.5</w:t>
            </w:r>
          </w:p>
        </w:tc>
        <w:tc>
          <w:tcPr>
            <w:tcW w:w="1689" w:type="dxa"/>
            <w:vAlign w:val="center"/>
          </w:tcPr>
          <w:p>
            <w:pPr>
              <w:jc w:val="center"/>
              <w:rPr>
                <w:rFonts w:hint="default" w:ascii="Times New Roman" w:hAnsi="Times New Roman" w:cs="Times New Roman"/>
                <w:color w:val="000000"/>
                <w:sz w:val="21"/>
                <w:szCs w:val="21"/>
              </w:rPr>
            </w:pP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24.7</w:t>
            </w:r>
          </w:p>
        </w:tc>
        <w:tc>
          <w:tcPr>
            <w:tcW w:w="168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1205.5</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trPr>
        <w:tc>
          <w:tcPr>
            <w:tcW w:w="14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三盛堡村</w:t>
            </w:r>
          </w:p>
        </w:tc>
        <w:tc>
          <w:tcPr>
            <w:tcW w:w="224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423.7</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223.4</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0.9</w:t>
            </w:r>
          </w:p>
        </w:tc>
        <w:tc>
          <w:tcPr>
            <w:tcW w:w="169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32.8</w:t>
            </w:r>
          </w:p>
        </w:tc>
        <w:tc>
          <w:tcPr>
            <w:tcW w:w="1689"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0.3</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38.1</w:t>
            </w:r>
          </w:p>
        </w:tc>
        <w:tc>
          <w:tcPr>
            <w:tcW w:w="168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2070.1</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trPr>
        <w:tc>
          <w:tcPr>
            <w:tcW w:w="14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四道碱场村</w:t>
            </w:r>
          </w:p>
        </w:tc>
        <w:tc>
          <w:tcPr>
            <w:tcW w:w="224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374.3</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285.7</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w:t>
            </w:r>
          </w:p>
        </w:tc>
        <w:tc>
          <w:tcPr>
            <w:tcW w:w="169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30.1</w:t>
            </w:r>
          </w:p>
        </w:tc>
        <w:tc>
          <w:tcPr>
            <w:tcW w:w="1689" w:type="dxa"/>
            <w:vAlign w:val="center"/>
          </w:tcPr>
          <w:p>
            <w:pPr>
              <w:jc w:val="center"/>
              <w:rPr>
                <w:rFonts w:hint="default" w:ascii="Times New Roman" w:hAnsi="Times New Roman" w:cs="Times New Roman"/>
                <w:color w:val="000000"/>
                <w:sz w:val="21"/>
                <w:szCs w:val="21"/>
              </w:rPr>
            </w:pP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18.8</w:t>
            </w:r>
          </w:p>
        </w:tc>
        <w:tc>
          <w:tcPr>
            <w:tcW w:w="168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647.6</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trPr>
        <w:tc>
          <w:tcPr>
            <w:tcW w:w="14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太平甸村</w:t>
            </w:r>
          </w:p>
        </w:tc>
        <w:tc>
          <w:tcPr>
            <w:tcW w:w="224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324.2</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115.4</w:t>
            </w:r>
          </w:p>
        </w:tc>
        <w:tc>
          <w:tcPr>
            <w:tcW w:w="1689" w:type="dxa"/>
            <w:shd w:val="clear" w:color="auto" w:fill="auto"/>
            <w:vAlign w:val="center"/>
          </w:tcPr>
          <w:p>
            <w:pPr>
              <w:jc w:val="center"/>
              <w:rPr>
                <w:rFonts w:hint="default" w:ascii="Times New Roman" w:hAnsi="Times New Roman" w:cs="Times New Roman"/>
                <w:color w:val="000000"/>
                <w:sz w:val="21"/>
                <w:szCs w:val="21"/>
              </w:rPr>
            </w:pPr>
          </w:p>
        </w:tc>
        <w:tc>
          <w:tcPr>
            <w:tcW w:w="169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18.7</w:t>
            </w:r>
          </w:p>
        </w:tc>
        <w:tc>
          <w:tcPr>
            <w:tcW w:w="1689"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0.7</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10.9</w:t>
            </w:r>
          </w:p>
        </w:tc>
        <w:tc>
          <w:tcPr>
            <w:tcW w:w="168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364.9</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trPr>
        <w:tc>
          <w:tcPr>
            <w:tcW w:w="14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苇塘村</w:t>
            </w:r>
          </w:p>
        </w:tc>
        <w:tc>
          <w:tcPr>
            <w:tcW w:w="224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227.3</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67.1</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0.2</w:t>
            </w:r>
          </w:p>
        </w:tc>
        <w:tc>
          <w:tcPr>
            <w:tcW w:w="169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11.6</w:t>
            </w:r>
          </w:p>
        </w:tc>
        <w:tc>
          <w:tcPr>
            <w:tcW w:w="1689" w:type="dxa"/>
            <w:vAlign w:val="center"/>
          </w:tcPr>
          <w:p>
            <w:pPr>
              <w:jc w:val="center"/>
              <w:rPr>
                <w:rFonts w:hint="default" w:ascii="Times New Roman" w:hAnsi="Times New Roman" w:cs="Times New Roman"/>
                <w:color w:val="000000"/>
                <w:sz w:val="21"/>
                <w:szCs w:val="21"/>
              </w:rPr>
            </w:pP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12.4</w:t>
            </w:r>
          </w:p>
        </w:tc>
        <w:tc>
          <w:tcPr>
            <w:tcW w:w="168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1266.3</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trPr>
        <w:tc>
          <w:tcPr>
            <w:tcW w:w="14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下堡村</w:t>
            </w:r>
          </w:p>
        </w:tc>
        <w:tc>
          <w:tcPr>
            <w:tcW w:w="224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237.6</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180.3</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0.7</w:t>
            </w:r>
          </w:p>
        </w:tc>
        <w:tc>
          <w:tcPr>
            <w:tcW w:w="169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19.2</w:t>
            </w:r>
          </w:p>
        </w:tc>
        <w:tc>
          <w:tcPr>
            <w:tcW w:w="1689"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0.5</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16.7</w:t>
            </w:r>
          </w:p>
        </w:tc>
        <w:tc>
          <w:tcPr>
            <w:tcW w:w="168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726.9</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trPr>
        <w:tc>
          <w:tcPr>
            <w:tcW w:w="14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秀水甸村</w:t>
            </w:r>
          </w:p>
        </w:tc>
        <w:tc>
          <w:tcPr>
            <w:tcW w:w="224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336.8</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213.8</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0.7</w:t>
            </w:r>
          </w:p>
        </w:tc>
        <w:tc>
          <w:tcPr>
            <w:tcW w:w="169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12.8</w:t>
            </w:r>
          </w:p>
        </w:tc>
        <w:tc>
          <w:tcPr>
            <w:tcW w:w="1689"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0.2</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17.2</w:t>
            </w:r>
          </w:p>
        </w:tc>
        <w:tc>
          <w:tcPr>
            <w:tcW w:w="168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1372.0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trPr>
        <w:tc>
          <w:tcPr>
            <w:tcW w:w="14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杨树崴子村</w:t>
            </w:r>
          </w:p>
        </w:tc>
        <w:tc>
          <w:tcPr>
            <w:tcW w:w="224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232.8</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226.1</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w:t>
            </w:r>
          </w:p>
        </w:tc>
        <w:tc>
          <w:tcPr>
            <w:tcW w:w="169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32.2</w:t>
            </w:r>
          </w:p>
        </w:tc>
        <w:tc>
          <w:tcPr>
            <w:tcW w:w="1689"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32.3</w:t>
            </w:r>
          </w:p>
        </w:tc>
        <w:tc>
          <w:tcPr>
            <w:tcW w:w="168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1177.8</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trPr>
        <w:tc>
          <w:tcPr>
            <w:tcW w:w="14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中堡村</w:t>
            </w:r>
          </w:p>
        </w:tc>
        <w:tc>
          <w:tcPr>
            <w:tcW w:w="224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269.8</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232.2</w:t>
            </w: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w:t>
            </w:r>
          </w:p>
        </w:tc>
        <w:tc>
          <w:tcPr>
            <w:tcW w:w="169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w:t>
            </w:r>
          </w:p>
        </w:tc>
        <w:tc>
          <w:tcPr>
            <w:tcW w:w="1689" w:type="dxa"/>
            <w:vAlign w:val="center"/>
          </w:tcPr>
          <w:p>
            <w:pPr>
              <w:jc w:val="center"/>
              <w:rPr>
                <w:rFonts w:hint="default" w:ascii="Times New Roman" w:hAnsi="Times New Roman" w:cs="Times New Roman"/>
                <w:color w:val="000000"/>
                <w:sz w:val="21"/>
                <w:szCs w:val="21"/>
              </w:rPr>
            </w:pPr>
          </w:p>
        </w:tc>
        <w:tc>
          <w:tcPr>
            <w:tcW w:w="16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15.8</w:t>
            </w:r>
          </w:p>
        </w:tc>
        <w:tc>
          <w:tcPr>
            <w:tcW w:w="168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1599.7</w:t>
            </w:r>
          </w:p>
        </w:tc>
      </w:tr>
    </w:tbl>
    <w:p>
      <w:pPr>
        <w:rPr>
          <w:rFonts w:eastAsia="黑体"/>
          <w:b/>
          <w:sz w:val="30"/>
          <w:szCs w:val="30"/>
        </w:rPr>
      </w:pPr>
    </w:p>
    <w:p>
      <w:pPr>
        <w:rPr>
          <w:rFonts w:eastAsia="仿宋_GB2312"/>
          <w:sz w:val="32"/>
          <w:szCs w:val="32"/>
        </w:rPr>
        <w:sectPr>
          <w:pgSz w:w="16838" w:h="11906" w:orient="landscape"/>
          <w:pgMar w:top="1418" w:right="1418" w:bottom="1531" w:left="1418" w:header="851" w:footer="992" w:gutter="227"/>
          <w:cols w:space="425" w:num="1"/>
          <w:docGrid w:linePitch="312" w:charSpace="0"/>
        </w:sectPr>
      </w:pPr>
      <w:bookmarkStart w:id="75" w:name="_Toc261940463"/>
      <w:bookmarkStart w:id="76" w:name="_Toc281205923"/>
      <w:bookmarkStart w:id="77" w:name="_Toc250276850"/>
      <w:bookmarkStart w:id="78" w:name="_Toc240775544"/>
      <w:r>
        <w:rPr>
          <w:rFonts w:eastAsia="黑体"/>
          <w:sz w:val="28"/>
          <w:szCs w:val="28"/>
        </w:rPr>
        <w:t xml:space="preserve">                           </w:t>
      </w:r>
      <w:bookmarkEnd w:id="75"/>
      <w:bookmarkEnd w:id="76"/>
      <w:bookmarkEnd w:id="77"/>
      <w:bookmarkEnd w:id="78"/>
    </w:p>
    <w:bookmarkEnd w:id="72"/>
    <w:p>
      <w:pPr>
        <w:pStyle w:val="4"/>
        <w:numPr>
          <w:ilvl w:val="0"/>
          <w:numId w:val="22"/>
        </w:numPr>
        <w:spacing w:before="0" w:after="0" w:line="240" w:lineRule="auto"/>
        <w:jc w:val="left"/>
        <w:rPr>
          <w:rFonts w:eastAsia="黑体"/>
          <w:b w:val="0"/>
          <w:sz w:val="28"/>
          <w:szCs w:val="28"/>
        </w:rPr>
      </w:pPr>
      <w:bookmarkStart w:id="79" w:name="_Toc281205927"/>
      <w:bookmarkStart w:id="80" w:name="_Toc261940466"/>
      <w:r>
        <w:rPr>
          <w:rFonts w:eastAsia="黑体"/>
          <w:b w:val="0"/>
          <w:sz w:val="28"/>
          <w:szCs w:val="28"/>
        </w:rPr>
        <w:t xml:space="preserve">  </w:t>
      </w:r>
      <w:r>
        <w:rPr>
          <w:rFonts w:hint="eastAsia" w:eastAsia="黑体"/>
          <w:b w:val="0"/>
          <w:sz w:val="28"/>
          <w:szCs w:val="28"/>
        </w:rPr>
        <w:t xml:space="preserve">       南山城镇</w:t>
      </w:r>
      <w:r>
        <w:rPr>
          <w:rFonts w:eastAsia="黑体"/>
          <w:b w:val="0"/>
          <w:sz w:val="28"/>
          <w:szCs w:val="28"/>
        </w:rPr>
        <w:t>重点建设项目用地规划表</w:t>
      </w:r>
      <w:bookmarkEnd w:id="79"/>
      <w:bookmarkEnd w:id="80"/>
    </w:p>
    <w:p>
      <w:pPr>
        <w:ind w:firstLine="420" w:firstLineChars="200"/>
        <w:jc w:val="right"/>
        <w:rPr>
          <w:rFonts w:eastAsia="仿宋"/>
          <w:szCs w:val="21"/>
        </w:rPr>
      </w:pPr>
      <w:bookmarkStart w:id="81" w:name="_Toc251405524"/>
      <w:r>
        <w:rPr>
          <w:rFonts w:eastAsia="仿宋"/>
          <w:szCs w:val="21"/>
        </w:rPr>
        <w:t>单位：公顷</w:t>
      </w:r>
      <w:bookmarkEnd w:id="81"/>
    </w:p>
    <w:tbl>
      <w:tblPr>
        <w:tblW w:w="88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43"/>
        <w:gridCol w:w="515"/>
        <w:gridCol w:w="2625"/>
        <w:gridCol w:w="959"/>
        <w:gridCol w:w="1031"/>
        <w:gridCol w:w="941"/>
        <w:gridCol w:w="634"/>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cantSplit/>
          <w:trHeight w:val="23" w:hRule="atLeast"/>
          <w:tblHeader/>
        </w:trPr>
        <w:tc>
          <w:tcPr>
            <w:tcW w:w="1043" w:type="dxa"/>
            <w:tcBorders>
              <w:top w:val="doub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项目类型</w:t>
            </w:r>
          </w:p>
        </w:tc>
        <w:tc>
          <w:tcPr>
            <w:tcW w:w="515"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序号</w:t>
            </w:r>
          </w:p>
        </w:tc>
        <w:tc>
          <w:tcPr>
            <w:tcW w:w="2625"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项目名称</w:t>
            </w:r>
          </w:p>
        </w:tc>
        <w:tc>
          <w:tcPr>
            <w:tcW w:w="959"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建设性质</w:t>
            </w:r>
          </w:p>
        </w:tc>
        <w:tc>
          <w:tcPr>
            <w:tcW w:w="1031"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建设年限</w:t>
            </w:r>
          </w:p>
        </w:tc>
        <w:tc>
          <w:tcPr>
            <w:tcW w:w="941"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级别</w:t>
            </w:r>
          </w:p>
        </w:tc>
        <w:tc>
          <w:tcPr>
            <w:tcW w:w="634"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规模</w:t>
            </w:r>
          </w:p>
        </w:tc>
        <w:tc>
          <w:tcPr>
            <w:tcW w:w="1125" w:type="dxa"/>
            <w:tcBorders>
              <w:top w:val="doub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涉及乡（镇）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restart"/>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能源</w:t>
            </w: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原油、成品油管道建设工程（抚顺段）</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国家、省级</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0.6</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天然气管道建设工程（抚顺段）</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国家、省级</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LNG</w:t>
            </w:r>
            <w:r>
              <w:rPr>
                <w:rFonts w:hint="eastAsia" w:ascii="仿宋" w:hAnsi="仿宋" w:eastAsia="仿宋" w:cs="仿宋"/>
                <w:i w:val="0"/>
                <w:color w:val="000000"/>
                <w:kern w:val="0"/>
                <w:sz w:val="21"/>
                <w:szCs w:val="21"/>
                <w:u w:val="none"/>
                <w:lang w:val="en-US" w:eastAsia="zh-CN" w:bidi="ar"/>
              </w:rPr>
              <w:t>站场工程（抚顺段）</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国家、省级</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1.6</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抚顺市乡镇光伏发电</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5.1</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抚顺市乡镇风力发电</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2.1</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抚顺北</w:t>
            </w:r>
            <w:r>
              <w:rPr>
                <w:rFonts w:hint="default" w:ascii="Times New Roman" w:hAnsi="Times New Roman" w:eastAsia="仿宋" w:cs="Times New Roman"/>
                <w:i w:val="0"/>
                <w:color w:val="000000"/>
                <w:kern w:val="0"/>
                <w:sz w:val="21"/>
                <w:szCs w:val="21"/>
                <w:u w:val="none"/>
                <w:lang w:val="en-US" w:eastAsia="zh-CN" w:bidi="ar"/>
              </w:rPr>
              <w:t>500</w:t>
            </w:r>
            <w:r>
              <w:rPr>
                <w:rFonts w:hint="eastAsia" w:ascii="仿宋" w:hAnsi="仿宋" w:eastAsia="仿宋" w:cs="仿宋"/>
                <w:i w:val="0"/>
                <w:color w:val="000000"/>
                <w:kern w:val="0"/>
                <w:sz w:val="21"/>
                <w:szCs w:val="21"/>
                <w:u w:val="none"/>
                <w:lang w:val="en-US" w:eastAsia="zh-CN" w:bidi="ar"/>
              </w:rPr>
              <w:t>千伏输变电工程</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0.5</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7</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CNG</w:t>
            </w:r>
            <w:r>
              <w:rPr>
                <w:rFonts w:hint="eastAsia" w:ascii="仿宋" w:hAnsi="仿宋" w:eastAsia="仿宋" w:cs="仿宋"/>
                <w:i w:val="0"/>
                <w:color w:val="000000"/>
                <w:kern w:val="0"/>
                <w:sz w:val="21"/>
                <w:szCs w:val="21"/>
                <w:u w:val="none"/>
                <w:lang w:val="en-US" w:eastAsia="zh-CN" w:bidi="ar"/>
              </w:rPr>
              <w:t>站场工程（抚顺段）</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1.6</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8</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清原县输变电工程</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2017-2020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市级</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2.3</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9</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杨树</w:t>
            </w:r>
            <w:r>
              <w:rPr>
                <w:rFonts w:hint="default" w:ascii="Times New Roman" w:hAnsi="Times New Roman" w:eastAsia="仿宋" w:cs="Times New Roman"/>
                <w:i w:val="0"/>
                <w:color w:val="000000"/>
                <w:kern w:val="0"/>
                <w:sz w:val="21"/>
                <w:szCs w:val="21"/>
                <w:u w:val="none"/>
                <w:lang w:val="en-US" w:eastAsia="zh-CN" w:bidi="ar"/>
              </w:rPr>
              <w:t>66</w:t>
            </w:r>
            <w:r>
              <w:rPr>
                <w:rFonts w:hint="eastAsia" w:ascii="仿宋" w:hAnsi="仿宋" w:eastAsia="仿宋" w:cs="仿宋"/>
                <w:i w:val="0"/>
                <w:color w:val="000000"/>
                <w:kern w:val="0"/>
                <w:sz w:val="21"/>
                <w:szCs w:val="21"/>
                <w:u w:val="none"/>
                <w:lang w:val="en-US" w:eastAsia="zh-CN" w:bidi="ar"/>
              </w:rPr>
              <w:t>千伏输变电工程</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2015-2017</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市级</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0.4</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10</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生物质热电联产项目</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2017-2020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11</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生物质颗粒发电项目</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2017-2020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0.4</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12</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光伏项目</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2015-2020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0.4</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restart"/>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交通</w:t>
            </w: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辽宁中部环线铁岭至本溪段（抚顺段）</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31.7</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沈阳至佳木斯客运专线（抚顺段）</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2017-2018</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23.6</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沈吉线电化改造工程（抚顺段）</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2016-2018</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24.3</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抚南</w:t>
            </w:r>
            <w:r>
              <w:rPr>
                <w:rFonts w:hint="default" w:ascii="Times New Roman" w:hAnsi="Times New Roman" w:eastAsia="仿宋" w:cs="Times New Roman"/>
                <w:i w:val="0"/>
                <w:color w:val="000000"/>
                <w:kern w:val="0"/>
                <w:sz w:val="21"/>
                <w:szCs w:val="21"/>
                <w:u w:val="none"/>
                <w:lang w:val="en-US" w:eastAsia="zh-CN" w:bidi="ar"/>
              </w:rPr>
              <w:t>VOR/DME</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0.1</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大伙房水库输水二期二步工程（抚顺段）</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2017-2020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0.7</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重点供水工程（抚顺段）</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2.9</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7</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重点供水二期一步工程（抚顺段）</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5.7</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8</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G202</w:t>
            </w:r>
            <w:r>
              <w:rPr>
                <w:rFonts w:hint="eastAsia" w:ascii="仿宋" w:hAnsi="仿宋" w:eastAsia="仿宋" w:cs="仿宋"/>
                <w:i w:val="0"/>
                <w:color w:val="000000"/>
                <w:kern w:val="0"/>
                <w:sz w:val="21"/>
                <w:szCs w:val="21"/>
                <w:u w:val="none"/>
                <w:lang w:val="en-US" w:eastAsia="zh-CN" w:bidi="ar"/>
              </w:rPr>
              <w:t>黑大线清原外环段新建工程（抚顺段）</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2.4</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9</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G231</w:t>
            </w:r>
            <w:r>
              <w:rPr>
                <w:rFonts w:hint="eastAsia" w:ascii="仿宋" w:hAnsi="仿宋" w:eastAsia="仿宋" w:cs="仿宋"/>
                <w:i w:val="0"/>
                <w:color w:val="000000"/>
                <w:kern w:val="0"/>
                <w:sz w:val="21"/>
                <w:szCs w:val="21"/>
                <w:u w:val="none"/>
                <w:lang w:val="en-US" w:eastAsia="zh-CN" w:bidi="ar"/>
              </w:rPr>
              <w:t>通武线石文至康西段改建工程（抚顺段）</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0.9</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10</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S202</w:t>
            </w:r>
            <w:r>
              <w:rPr>
                <w:rFonts w:hint="eastAsia" w:ascii="仿宋" w:hAnsi="仿宋" w:eastAsia="仿宋" w:cs="仿宋"/>
                <w:i w:val="0"/>
                <w:color w:val="000000"/>
                <w:kern w:val="0"/>
                <w:sz w:val="21"/>
                <w:szCs w:val="21"/>
                <w:u w:val="none"/>
                <w:lang w:val="en-US" w:eastAsia="zh-CN" w:bidi="ar"/>
              </w:rPr>
              <w:t>傅桓线铁岭界至本溪界段改建工程（抚顺段）</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0.4</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11</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S305</w:t>
            </w:r>
            <w:r>
              <w:rPr>
                <w:rFonts w:hint="eastAsia" w:ascii="仿宋" w:hAnsi="仿宋" w:eastAsia="仿宋" w:cs="仿宋"/>
                <w:i w:val="0"/>
                <w:color w:val="000000"/>
                <w:kern w:val="0"/>
                <w:sz w:val="21"/>
                <w:szCs w:val="21"/>
                <w:u w:val="none"/>
                <w:lang w:val="en-US" w:eastAsia="zh-CN" w:bidi="ar"/>
              </w:rPr>
              <w:t>集本线本溪界至本溪界段改建工程（抚顺段）</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0.1</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12</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拟建通用机场用地项目</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2017-2020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0.7</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13</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清原满族自治县普通公路改扩建工程</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2018-2020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市级</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1.4</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14</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平桓线砍椽沟至甘井子黑色路面改建工程（抚顺段）</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2019-2020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市级</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0.8</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15</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傅桓线北三家至阿尔当黑色路面改建工程（抚顺段）</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2019-2020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市级</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0.5</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16</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石北线</w:t>
            </w:r>
            <w:r>
              <w:rPr>
                <w:rFonts w:hint="default" w:ascii="Times New Roman" w:hAnsi="Times New Roman" w:eastAsia="仿宋" w:cs="Times New Roman"/>
                <w:i w:val="0"/>
                <w:color w:val="000000"/>
                <w:kern w:val="0"/>
                <w:sz w:val="21"/>
                <w:szCs w:val="21"/>
                <w:u w:val="none"/>
                <w:lang w:val="en-US" w:eastAsia="zh-CN" w:bidi="ar"/>
              </w:rPr>
              <w:t>B</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2015-2020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4.9</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17</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三姜线</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2015-2020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9.9</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restart"/>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水利</w:t>
            </w: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新增辽西北供水工程</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5.3</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新增辽西北供水二期工程</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0.6</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抚顺市乡镇防洪工程</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5.7</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清原满族自治县乡镇脱贫攻坚村级基础设施项目</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2015-2020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0.1</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清原满族自治县河道治理工程</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2017-2020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0.1</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restart"/>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国防、矿山、监狱、殡葬等其他用地项目</w:t>
            </w: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0"/>
                <w:szCs w:val="20"/>
                <w:u w:val="none"/>
              </w:rPr>
            </w:pPr>
            <w:r>
              <w:rPr>
                <w:rFonts w:hint="default" w:ascii="Times New Roman" w:hAnsi="Times New Roman" w:eastAsia="Tahoma" w:cs="Times New Roman"/>
                <w:i w:val="0"/>
                <w:color w:val="000000"/>
                <w:kern w:val="0"/>
                <w:sz w:val="20"/>
                <w:szCs w:val="20"/>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市垃圾填埋厂</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2015-2020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市级</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1.8</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0"/>
                <w:szCs w:val="20"/>
                <w:u w:val="none"/>
              </w:rPr>
            </w:pPr>
            <w:r>
              <w:rPr>
                <w:rFonts w:hint="default" w:ascii="Times New Roman" w:hAnsi="Times New Roman" w:eastAsia="Tahoma" w:cs="Times New Roman"/>
                <w:i w:val="0"/>
                <w:color w:val="000000"/>
                <w:kern w:val="0"/>
                <w:sz w:val="20"/>
                <w:szCs w:val="20"/>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冷链物流基础设施项目</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2017-2020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0.1</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0"/>
                <w:szCs w:val="20"/>
                <w:u w:val="none"/>
              </w:rPr>
            </w:pPr>
            <w:r>
              <w:rPr>
                <w:rFonts w:hint="default" w:ascii="Times New Roman" w:hAnsi="Times New Roman" w:eastAsia="Tahoma" w:cs="Times New Roman"/>
                <w:i w:val="0"/>
                <w:color w:val="000000"/>
                <w:kern w:val="0"/>
                <w:sz w:val="20"/>
                <w:szCs w:val="20"/>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抚顺珏族矿业有限公司</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2015-2020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0.3</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南山城镇大秧上堡村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0"/>
                <w:szCs w:val="20"/>
                <w:u w:val="none"/>
              </w:rPr>
            </w:pPr>
            <w:r>
              <w:rPr>
                <w:rFonts w:hint="default" w:ascii="Times New Roman" w:hAnsi="Times New Roman" w:eastAsia="Tahoma" w:cs="Times New Roman"/>
                <w:i w:val="0"/>
                <w:color w:val="000000"/>
                <w:kern w:val="0"/>
                <w:sz w:val="20"/>
                <w:szCs w:val="20"/>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抚顺龙岗矿泉饮品有限责任公司</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2015-2020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0.1</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南山城镇南山城村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0"/>
                <w:szCs w:val="20"/>
                <w:u w:val="none"/>
              </w:rPr>
            </w:pPr>
            <w:r>
              <w:rPr>
                <w:rFonts w:hint="default" w:ascii="Times New Roman" w:hAnsi="Times New Roman" w:eastAsia="Tahoma" w:cs="Times New Roman"/>
                <w:i w:val="0"/>
                <w:color w:val="000000"/>
                <w:kern w:val="0"/>
                <w:sz w:val="20"/>
                <w:szCs w:val="20"/>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辽宁省第十地质大队</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2015-2020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0.2</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南山城三道河村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0"/>
                <w:szCs w:val="20"/>
                <w:u w:val="none"/>
              </w:rPr>
            </w:pPr>
            <w:r>
              <w:rPr>
                <w:rFonts w:hint="default" w:ascii="Times New Roman" w:hAnsi="Times New Roman" w:eastAsia="Tahoma" w:cs="Times New Roman"/>
                <w:i w:val="0"/>
                <w:color w:val="000000"/>
                <w:kern w:val="0"/>
                <w:sz w:val="20"/>
                <w:szCs w:val="20"/>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清原满族自治县绿源复混肥有限公司</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2015-2020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0.3</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南山城镇南山城村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0"/>
                <w:szCs w:val="20"/>
                <w:u w:val="none"/>
              </w:rPr>
            </w:pPr>
            <w:r>
              <w:rPr>
                <w:rFonts w:hint="default" w:ascii="Times New Roman" w:hAnsi="Times New Roman" w:eastAsia="Tahoma" w:cs="Times New Roman"/>
                <w:i w:val="0"/>
                <w:color w:val="000000"/>
                <w:kern w:val="0"/>
                <w:sz w:val="20"/>
                <w:szCs w:val="20"/>
                <w:u w:val="none"/>
                <w:lang w:val="en-US" w:eastAsia="zh-CN" w:bidi="ar"/>
              </w:rPr>
              <w:t>7</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清原满族自治县荣阳经贸有限公司</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2015-2020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0.7</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南山城镇杨树崴子村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color w:val="000000"/>
                <w:sz w:val="21"/>
                <w:szCs w:val="21"/>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0"/>
                <w:szCs w:val="20"/>
                <w:u w:val="none"/>
              </w:rPr>
            </w:pPr>
            <w:r>
              <w:rPr>
                <w:rFonts w:hint="default" w:ascii="Times New Roman" w:hAnsi="Times New Roman" w:eastAsia="Tahoma" w:cs="Times New Roman"/>
                <w:i w:val="0"/>
                <w:color w:val="000000"/>
                <w:kern w:val="0"/>
                <w:sz w:val="20"/>
                <w:szCs w:val="20"/>
                <w:u w:val="none"/>
                <w:lang w:val="en-US" w:eastAsia="zh-CN" w:bidi="ar"/>
              </w:rPr>
              <w:t>8</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清原满族自治县太和矿业有限公司</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0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2015-2020</w:t>
            </w:r>
          </w:p>
        </w:tc>
        <w:tc>
          <w:tcPr>
            <w:tcW w:w="9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w:t>
            </w:r>
          </w:p>
        </w:tc>
        <w:tc>
          <w:tcPr>
            <w:tcW w:w="11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南山城镇黑石头村、苇塘村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043" w:type="dxa"/>
            <w:tcBorders>
              <w:top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合计</w:t>
            </w:r>
          </w:p>
        </w:tc>
        <w:tc>
          <w:tcPr>
            <w:tcW w:w="515"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b/>
                <w:i w:val="0"/>
                <w:color w:val="000000"/>
                <w:sz w:val="21"/>
                <w:szCs w:val="21"/>
                <w:u w:val="none"/>
              </w:rPr>
            </w:pPr>
            <w:r>
              <w:rPr>
                <w:rFonts w:hint="default" w:ascii="Times New Roman" w:hAnsi="Times New Roman" w:eastAsia="Tahoma" w:cs="Times New Roman"/>
                <w:b/>
                <w:i w:val="0"/>
                <w:color w:val="000000"/>
                <w:kern w:val="0"/>
                <w:sz w:val="21"/>
                <w:szCs w:val="21"/>
                <w:u w:val="none"/>
                <w:lang w:val="en-US" w:eastAsia="zh-CN" w:bidi="ar"/>
              </w:rPr>
              <w:t>——</w:t>
            </w:r>
          </w:p>
        </w:tc>
        <w:tc>
          <w:tcPr>
            <w:tcW w:w="2625"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b/>
                <w:i w:val="0"/>
                <w:color w:val="000000"/>
                <w:sz w:val="21"/>
                <w:szCs w:val="21"/>
                <w:u w:val="none"/>
              </w:rPr>
            </w:pPr>
            <w:r>
              <w:rPr>
                <w:rFonts w:hint="default" w:ascii="Times New Roman" w:hAnsi="Times New Roman" w:eastAsia="Tahoma" w:cs="Times New Roman"/>
                <w:b/>
                <w:i w:val="0"/>
                <w:color w:val="000000"/>
                <w:kern w:val="0"/>
                <w:sz w:val="21"/>
                <w:szCs w:val="21"/>
                <w:u w:val="none"/>
                <w:lang w:val="en-US" w:eastAsia="zh-CN" w:bidi="ar"/>
              </w:rPr>
              <w:t>——</w:t>
            </w:r>
          </w:p>
        </w:tc>
        <w:tc>
          <w:tcPr>
            <w:tcW w:w="959"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b/>
                <w:i w:val="0"/>
                <w:color w:val="000000"/>
                <w:sz w:val="21"/>
                <w:szCs w:val="21"/>
                <w:u w:val="none"/>
              </w:rPr>
            </w:pPr>
            <w:r>
              <w:rPr>
                <w:rFonts w:hint="default" w:ascii="Times New Roman" w:hAnsi="Times New Roman" w:eastAsia="Tahoma" w:cs="Times New Roman"/>
                <w:b/>
                <w:i w:val="0"/>
                <w:color w:val="000000"/>
                <w:kern w:val="0"/>
                <w:sz w:val="21"/>
                <w:szCs w:val="21"/>
                <w:u w:val="none"/>
                <w:lang w:val="en-US" w:eastAsia="zh-CN" w:bidi="ar"/>
              </w:rPr>
              <w:t>——</w:t>
            </w:r>
          </w:p>
        </w:tc>
        <w:tc>
          <w:tcPr>
            <w:tcW w:w="1031"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b/>
                <w:i w:val="0"/>
                <w:color w:val="000000"/>
                <w:sz w:val="21"/>
                <w:szCs w:val="21"/>
                <w:u w:val="none"/>
              </w:rPr>
            </w:pPr>
            <w:r>
              <w:rPr>
                <w:rFonts w:hint="default" w:ascii="Times New Roman" w:hAnsi="Times New Roman" w:eastAsia="Tahoma" w:cs="Times New Roman"/>
                <w:b/>
                <w:i w:val="0"/>
                <w:color w:val="000000"/>
                <w:kern w:val="0"/>
                <w:sz w:val="21"/>
                <w:szCs w:val="21"/>
                <w:u w:val="none"/>
                <w:lang w:val="en-US" w:eastAsia="zh-CN" w:bidi="ar"/>
              </w:rPr>
              <w:t>——</w:t>
            </w:r>
          </w:p>
        </w:tc>
        <w:tc>
          <w:tcPr>
            <w:tcW w:w="941"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b/>
                <w:i w:val="0"/>
                <w:color w:val="000000"/>
                <w:sz w:val="21"/>
                <w:szCs w:val="21"/>
                <w:u w:val="none"/>
              </w:rPr>
            </w:pPr>
            <w:r>
              <w:rPr>
                <w:rFonts w:hint="default" w:ascii="Times New Roman" w:hAnsi="Times New Roman" w:eastAsia="Tahoma" w:cs="Times New Roman"/>
                <w:b/>
                <w:i w:val="0"/>
                <w:color w:val="000000"/>
                <w:kern w:val="0"/>
                <w:sz w:val="21"/>
                <w:szCs w:val="21"/>
                <w:u w:val="none"/>
                <w:lang w:val="en-US" w:eastAsia="zh-CN" w:bidi="ar"/>
              </w:rPr>
              <w:t>——</w:t>
            </w:r>
          </w:p>
        </w:tc>
        <w:tc>
          <w:tcPr>
            <w:tcW w:w="634"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b/>
                <w:i w:val="0"/>
                <w:color w:val="000000"/>
                <w:sz w:val="21"/>
                <w:szCs w:val="21"/>
                <w:u w:val="none"/>
              </w:rPr>
            </w:pPr>
            <w:r>
              <w:rPr>
                <w:rFonts w:hint="default" w:ascii="Times New Roman" w:hAnsi="Times New Roman" w:eastAsia="Tahoma" w:cs="Times New Roman"/>
                <w:b/>
                <w:i w:val="0"/>
                <w:color w:val="000000"/>
                <w:kern w:val="0"/>
                <w:sz w:val="21"/>
                <w:szCs w:val="21"/>
                <w:u w:val="none"/>
                <w:lang w:val="en-US" w:eastAsia="zh-CN" w:bidi="ar"/>
              </w:rPr>
              <w:t>144.3</w:t>
            </w:r>
          </w:p>
        </w:tc>
        <w:tc>
          <w:tcPr>
            <w:tcW w:w="1125" w:type="dxa"/>
            <w:tcBorders>
              <w:top w:val="single" w:color="000000" w:sz="4" w:space="0"/>
              <w:left w:val="single" w:color="000000" w:sz="4" w:space="0"/>
              <w:bottom w:val="doub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Tahoma" w:cs="Times New Roman"/>
                <w:b/>
                <w:i w:val="0"/>
                <w:color w:val="000000"/>
                <w:sz w:val="21"/>
                <w:szCs w:val="21"/>
                <w:u w:val="none"/>
              </w:rPr>
            </w:pPr>
            <w:r>
              <w:rPr>
                <w:rFonts w:hint="default" w:ascii="Times New Roman" w:hAnsi="Times New Roman" w:eastAsia="Tahoma" w:cs="Times New Roman"/>
                <w:b/>
                <w:i w:val="0"/>
                <w:color w:val="000000"/>
                <w:kern w:val="0"/>
                <w:sz w:val="21"/>
                <w:szCs w:val="21"/>
                <w:u w:val="none"/>
                <w:lang w:val="en-US" w:eastAsia="zh-CN" w:bidi="ar"/>
              </w:rPr>
              <w:t>——</w:t>
            </w:r>
          </w:p>
        </w:tc>
      </w:tr>
    </w:tbl>
    <w:p>
      <w:pPr>
        <w:ind w:firstLine="420" w:firstLineChars="200"/>
        <w:rPr>
          <w:rFonts w:eastAsia="仿宋"/>
          <w:kern w:val="0"/>
          <w:szCs w:val="21"/>
        </w:rPr>
      </w:pPr>
    </w:p>
    <w:p>
      <w:pPr>
        <w:ind w:firstLine="420" w:firstLineChars="200"/>
        <w:rPr>
          <w:rFonts w:eastAsia="仿宋"/>
          <w:kern w:val="0"/>
          <w:szCs w:val="21"/>
        </w:rPr>
      </w:pPr>
      <w:r>
        <w:rPr>
          <w:rFonts w:eastAsia="仿宋"/>
          <w:kern w:val="0"/>
          <w:szCs w:val="21"/>
        </w:rPr>
        <w:t>备注：表中用地规模数据、涉及乡（镇）、计划实施年份仅供参考。具体实施中，以实际核准的用地规模和具体建设地点为准</w:t>
      </w:r>
      <w:r>
        <w:rPr>
          <w:rFonts w:hint="eastAsia" w:eastAsia="仿宋"/>
          <w:kern w:val="0"/>
          <w:szCs w:val="21"/>
        </w:rPr>
        <w:t>，</w:t>
      </w:r>
      <w:bookmarkStart w:id="82" w:name="_GoBack"/>
      <w:bookmarkEnd w:id="82"/>
      <w:r>
        <w:rPr>
          <w:rFonts w:hint="eastAsia" w:eastAsia="仿宋"/>
          <w:kern w:val="0"/>
          <w:szCs w:val="21"/>
        </w:rPr>
        <w:t>建设中若涉及生态保护红线，应遵守生态保护红线管控的有关规定。新增中央投资项目在项目确定后优先保障和安排，重点项目中涉及的填海造地规模未包含在基础设施总规模中</w:t>
      </w:r>
      <w:r>
        <w:rPr>
          <w:rFonts w:eastAsia="仿宋"/>
          <w:kern w:val="0"/>
          <w:szCs w:val="21"/>
        </w:rPr>
        <w:t>。</w:t>
      </w:r>
    </w:p>
    <w:sectPr>
      <w:pgSz w:w="11906" w:h="16838"/>
      <w:pgMar w:top="1418" w:right="1418" w:bottom="1418" w:left="1418" w:header="851" w:footer="992" w:gutter="227"/>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Style w:val="22"/>
      </w:rPr>
      <w:fldChar w:fldCharType="begin"/>
    </w:r>
    <w:r>
      <w:rPr>
        <w:rStyle w:val="22"/>
      </w:rPr>
      <w:instrText xml:space="preserve"> PAGE </w:instrText>
    </w:r>
    <w:r>
      <w:rPr>
        <w:rStyle w:val="22"/>
      </w:rPr>
      <w:fldChar w:fldCharType="separate"/>
    </w:r>
    <w:r>
      <w:rPr>
        <w:rStyle w:val="22"/>
      </w:rPr>
      <w:t>IV</w:t>
    </w:r>
    <w:r>
      <w:rPr>
        <w:rStyle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Style w:val="22"/>
      </w:rPr>
      <w:fldChar w:fldCharType="begin"/>
    </w:r>
    <w:r>
      <w:rPr>
        <w:rStyle w:val="22"/>
      </w:rPr>
      <w:instrText xml:space="preserve"> PAGE </w:instrText>
    </w:r>
    <w:r>
      <w:rPr>
        <w:rStyle w:val="22"/>
      </w:rPr>
      <w:fldChar w:fldCharType="separate"/>
    </w:r>
    <w:r>
      <w:rPr>
        <w:rStyle w:val="22"/>
      </w:rPr>
      <w:t>31</w:t>
    </w:r>
    <w:r>
      <w:rPr>
        <w:rStyle w:val="2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6" w:space="0"/>
      </w:pBdr>
      <w:rPr>
        <w:rFonts w:eastAsia="楷体"/>
        <w:color w:val="000000"/>
      </w:rPr>
    </w:pPr>
    <w:r>
      <w:rPr>
        <w:rFonts w:hint="eastAsia" w:hAnsi="楷体" w:eastAsia="楷体"/>
        <w:color w:val="000000"/>
      </w:rPr>
      <w:t>清原满族自治县南山城镇</w:t>
    </w:r>
    <w:r>
      <w:rPr>
        <w:rFonts w:hAnsi="楷体" w:eastAsia="楷体"/>
        <w:color w:val="000000"/>
      </w:rPr>
      <w:t>土地利用总体规划（</w:t>
    </w:r>
    <w:r>
      <w:rPr>
        <w:rFonts w:eastAsia="楷体"/>
        <w:color w:val="000000"/>
      </w:rPr>
      <w:t>2006-2020</w:t>
    </w:r>
    <w:r>
      <w:rPr>
        <w:rFonts w:hAnsi="楷体" w:eastAsia="楷体"/>
        <w:color w:val="000000"/>
      </w:rPr>
      <w:t>年）调整方案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34E"/>
    <w:multiLevelType w:val="multilevel"/>
    <w:tmpl w:val="0108434E"/>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DA561F"/>
    <w:multiLevelType w:val="multilevel"/>
    <w:tmpl w:val="04DA561F"/>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
    <w:nsid w:val="0B9B7CFB"/>
    <w:multiLevelType w:val="multilevel"/>
    <w:tmpl w:val="0B9B7CFB"/>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587212D"/>
    <w:multiLevelType w:val="multilevel"/>
    <w:tmpl w:val="1587212D"/>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4">
    <w:nsid w:val="1A335344"/>
    <w:multiLevelType w:val="multilevel"/>
    <w:tmpl w:val="1A335344"/>
    <w:lvl w:ilvl="0" w:tentative="0">
      <w:start w:val="1"/>
      <w:numFmt w:val="chineseCountingThousand"/>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EFA1008"/>
    <w:multiLevelType w:val="multilevel"/>
    <w:tmpl w:val="1EFA1008"/>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6">
    <w:nsid w:val="2D030FB5"/>
    <w:multiLevelType w:val="multilevel"/>
    <w:tmpl w:val="2D030FB5"/>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7">
    <w:nsid w:val="2D07305B"/>
    <w:multiLevelType w:val="multilevel"/>
    <w:tmpl w:val="2D07305B"/>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8">
    <w:nsid w:val="32360A0B"/>
    <w:multiLevelType w:val="multilevel"/>
    <w:tmpl w:val="32360A0B"/>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86C3BF8"/>
    <w:multiLevelType w:val="multilevel"/>
    <w:tmpl w:val="386C3BF8"/>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0">
    <w:nsid w:val="3FCB0981"/>
    <w:multiLevelType w:val="multilevel"/>
    <w:tmpl w:val="3FCB0981"/>
    <w:lvl w:ilvl="0" w:tentative="0">
      <w:start w:val="1"/>
      <w:numFmt w:val="decimal"/>
      <w:suff w:val="space"/>
      <w:lvlText w:val="附表%1"/>
      <w:lvlJc w:val="left"/>
      <w:pPr>
        <w:ind w:left="0" w:firstLine="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9132A82"/>
    <w:multiLevelType w:val="multilevel"/>
    <w:tmpl w:val="49132A82"/>
    <w:lvl w:ilvl="0" w:tentative="0">
      <w:start w:val="1"/>
      <w:numFmt w:val="japaneseCounting"/>
      <w:lvlText w:val="第%1节"/>
      <w:lvlJc w:val="left"/>
      <w:pPr>
        <w:ind w:left="420" w:hanging="420"/>
      </w:pPr>
      <w:rPr>
        <w:rFonts w:hint="default"/>
      </w:rPr>
    </w:lvl>
    <w:lvl w:ilvl="1" w:tentative="0">
      <w:start w:val="1"/>
      <w:numFmt w:val="lowerLetter"/>
      <w:lvlText w:val="%2)"/>
      <w:lvlJc w:val="left"/>
      <w:pPr>
        <w:ind w:left="840" w:hanging="420"/>
      </w:pPr>
    </w:lvl>
    <w:lvl w:ilvl="2" w:tentative="0">
      <w:start w:val="1"/>
      <w:numFmt w:val="chineseCountingThousand"/>
      <w:suff w:val="nothing"/>
      <w:lvlText w:val="（%3）"/>
      <w:lvlJc w:val="left"/>
      <w:pPr>
        <w:ind w:left="0" w:firstLine="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D5152B8"/>
    <w:multiLevelType w:val="multilevel"/>
    <w:tmpl w:val="4D5152B8"/>
    <w:lvl w:ilvl="0" w:tentative="0">
      <w:start w:val="1"/>
      <w:numFmt w:val="chineseCountingThousand"/>
      <w:lvlText w:val="%1、"/>
      <w:lvlJc w:val="left"/>
      <w:pPr>
        <w:ind w:left="0" w:firstLine="0"/>
      </w:pPr>
      <w:rPr>
        <w:rFonts w:hint="eastAsia"/>
      </w:rPr>
    </w:lvl>
    <w:lvl w:ilvl="1" w:tentative="0">
      <w:start w:val="1"/>
      <w:numFmt w:val="japaneseCounting"/>
      <w:lvlText w:val="第%2条"/>
      <w:lvlJc w:val="left"/>
      <w:pPr>
        <w:ind w:left="1545" w:hanging="1125"/>
      </w:pPr>
      <w:rPr>
        <w:rFonts w:hint="default"/>
      </w:rPr>
    </w:lvl>
    <w:lvl w:ilvl="2" w:tentative="0">
      <w:start w:val="1"/>
      <w:numFmt w:val="japaneseCounting"/>
      <w:lvlText w:val="第%3节"/>
      <w:lvlJc w:val="left"/>
      <w:pPr>
        <w:ind w:left="2085" w:hanging="1245"/>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4423C4E"/>
    <w:multiLevelType w:val="multilevel"/>
    <w:tmpl w:val="54423C4E"/>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4">
    <w:nsid w:val="66290229"/>
    <w:multiLevelType w:val="multilevel"/>
    <w:tmpl w:val="66290229"/>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6C43FEB"/>
    <w:multiLevelType w:val="multilevel"/>
    <w:tmpl w:val="66C43FEB"/>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6">
    <w:nsid w:val="6AA76106"/>
    <w:multiLevelType w:val="multilevel"/>
    <w:tmpl w:val="6AA76106"/>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D1506B5"/>
    <w:multiLevelType w:val="multilevel"/>
    <w:tmpl w:val="6D1506B5"/>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8">
    <w:nsid w:val="717A389B"/>
    <w:multiLevelType w:val="multilevel"/>
    <w:tmpl w:val="717A389B"/>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9">
    <w:nsid w:val="7AB11C9A"/>
    <w:multiLevelType w:val="multilevel"/>
    <w:tmpl w:val="7AB11C9A"/>
    <w:lvl w:ilvl="0" w:tentative="0">
      <w:start w:val="1"/>
      <w:numFmt w:val="decimal"/>
      <w:suff w:val="nothing"/>
      <w:lvlText w:val="%1、"/>
      <w:lvlJc w:val="left"/>
      <w:pPr>
        <w:ind w:left="0" w:firstLine="0"/>
      </w:pPr>
      <w:rPr>
        <w:rFonts w:hint="eastAsia"/>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0">
    <w:nsid w:val="7AB96559"/>
    <w:multiLevelType w:val="multilevel"/>
    <w:tmpl w:val="7AB96559"/>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D4A43A2"/>
    <w:multiLevelType w:val="multilevel"/>
    <w:tmpl w:val="7D4A43A2"/>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12"/>
  </w:num>
  <w:num w:numId="2">
    <w:abstractNumId w:val="11"/>
  </w:num>
  <w:num w:numId="3">
    <w:abstractNumId w:val="19"/>
  </w:num>
  <w:num w:numId="4">
    <w:abstractNumId w:val="4"/>
  </w:num>
  <w:num w:numId="5">
    <w:abstractNumId w:val="0"/>
  </w:num>
  <w:num w:numId="6">
    <w:abstractNumId w:val="17"/>
  </w:num>
  <w:num w:numId="7">
    <w:abstractNumId w:val="7"/>
  </w:num>
  <w:num w:numId="8">
    <w:abstractNumId w:val="14"/>
  </w:num>
  <w:num w:numId="9">
    <w:abstractNumId w:val="1"/>
  </w:num>
  <w:num w:numId="10">
    <w:abstractNumId w:val="21"/>
  </w:num>
  <w:num w:numId="11">
    <w:abstractNumId w:val="13"/>
  </w:num>
  <w:num w:numId="12">
    <w:abstractNumId w:val="2"/>
  </w:num>
  <w:num w:numId="13">
    <w:abstractNumId w:val="3"/>
  </w:num>
  <w:num w:numId="14">
    <w:abstractNumId w:val="6"/>
  </w:num>
  <w:num w:numId="15">
    <w:abstractNumId w:val="8"/>
  </w:num>
  <w:num w:numId="16">
    <w:abstractNumId w:val="5"/>
  </w:num>
  <w:num w:numId="17">
    <w:abstractNumId w:val="18"/>
  </w:num>
  <w:num w:numId="18">
    <w:abstractNumId w:val="16"/>
  </w:num>
  <w:num w:numId="19">
    <w:abstractNumId w:val="15"/>
  </w:num>
  <w:num w:numId="20">
    <w:abstractNumId w:val="9"/>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D3357"/>
    <w:rsid w:val="0000082F"/>
    <w:rsid w:val="00000FED"/>
    <w:rsid w:val="000010C1"/>
    <w:rsid w:val="00001459"/>
    <w:rsid w:val="00001CC8"/>
    <w:rsid w:val="00001F51"/>
    <w:rsid w:val="00002927"/>
    <w:rsid w:val="00002E32"/>
    <w:rsid w:val="000031E2"/>
    <w:rsid w:val="000032D6"/>
    <w:rsid w:val="00004450"/>
    <w:rsid w:val="00004761"/>
    <w:rsid w:val="00004BE3"/>
    <w:rsid w:val="00004C31"/>
    <w:rsid w:val="00005218"/>
    <w:rsid w:val="000056B1"/>
    <w:rsid w:val="00005955"/>
    <w:rsid w:val="00005B96"/>
    <w:rsid w:val="00005C72"/>
    <w:rsid w:val="00006523"/>
    <w:rsid w:val="00006537"/>
    <w:rsid w:val="00006A57"/>
    <w:rsid w:val="000073A6"/>
    <w:rsid w:val="000102A7"/>
    <w:rsid w:val="000103A5"/>
    <w:rsid w:val="00010851"/>
    <w:rsid w:val="00010B73"/>
    <w:rsid w:val="0001158B"/>
    <w:rsid w:val="000119A4"/>
    <w:rsid w:val="000119E1"/>
    <w:rsid w:val="00011B70"/>
    <w:rsid w:val="00012952"/>
    <w:rsid w:val="000129AF"/>
    <w:rsid w:val="00013138"/>
    <w:rsid w:val="000137AA"/>
    <w:rsid w:val="00013833"/>
    <w:rsid w:val="00013A26"/>
    <w:rsid w:val="00015021"/>
    <w:rsid w:val="0001570F"/>
    <w:rsid w:val="00015798"/>
    <w:rsid w:val="00016A3B"/>
    <w:rsid w:val="00016E25"/>
    <w:rsid w:val="000178D4"/>
    <w:rsid w:val="0002005A"/>
    <w:rsid w:val="0002060E"/>
    <w:rsid w:val="0002079D"/>
    <w:rsid w:val="00020845"/>
    <w:rsid w:val="000209E4"/>
    <w:rsid w:val="00020C92"/>
    <w:rsid w:val="00020D15"/>
    <w:rsid w:val="00020DF5"/>
    <w:rsid w:val="0002113B"/>
    <w:rsid w:val="00022396"/>
    <w:rsid w:val="00022BFA"/>
    <w:rsid w:val="00023293"/>
    <w:rsid w:val="00023F66"/>
    <w:rsid w:val="00024A4E"/>
    <w:rsid w:val="00024D76"/>
    <w:rsid w:val="0002545C"/>
    <w:rsid w:val="000259D4"/>
    <w:rsid w:val="0002665A"/>
    <w:rsid w:val="000274DA"/>
    <w:rsid w:val="000274F1"/>
    <w:rsid w:val="00027944"/>
    <w:rsid w:val="00027C44"/>
    <w:rsid w:val="00027CAE"/>
    <w:rsid w:val="000308D7"/>
    <w:rsid w:val="00031D19"/>
    <w:rsid w:val="0003210F"/>
    <w:rsid w:val="0003243B"/>
    <w:rsid w:val="0003273C"/>
    <w:rsid w:val="00032D77"/>
    <w:rsid w:val="00033838"/>
    <w:rsid w:val="00033FCA"/>
    <w:rsid w:val="00033FE5"/>
    <w:rsid w:val="00034999"/>
    <w:rsid w:val="00034F08"/>
    <w:rsid w:val="000357DF"/>
    <w:rsid w:val="00035DFE"/>
    <w:rsid w:val="00035F7F"/>
    <w:rsid w:val="0003615B"/>
    <w:rsid w:val="00036BB1"/>
    <w:rsid w:val="00036E5A"/>
    <w:rsid w:val="00036E77"/>
    <w:rsid w:val="000376F6"/>
    <w:rsid w:val="000400CA"/>
    <w:rsid w:val="00040662"/>
    <w:rsid w:val="00040BD9"/>
    <w:rsid w:val="000411C0"/>
    <w:rsid w:val="00041536"/>
    <w:rsid w:val="00041BA2"/>
    <w:rsid w:val="00041D1B"/>
    <w:rsid w:val="00041D77"/>
    <w:rsid w:val="00041FA5"/>
    <w:rsid w:val="00042022"/>
    <w:rsid w:val="0004207A"/>
    <w:rsid w:val="00042248"/>
    <w:rsid w:val="00042814"/>
    <w:rsid w:val="0004405A"/>
    <w:rsid w:val="00044734"/>
    <w:rsid w:val="00044A0B"/>
    <w:rsid w:val="00044E47"/>
    <w:rsid w:val="00045645"/>
    <w:rsid w:val="00045B31"/>
    <w:rsid w:val="00045E30"/>
    <w:rsid w:val="0004613E"/>
    <w:rsid w:val="000464A1"/>
    <w:rsid w:val="00046F3B"/>
    <w:rsid w:val="00047024"/>
    <w:rsid w:val="00047599"/>
    <w:rsid w:val="00050007"/>
    <w:rsid w:val="00051329"/>
    <w:rsid w:val="00052672"/>
    <w:rsid w:val="00052762"/>
    <w:rsid w:val="00053398"/>
    <w:rsid w:val="0005357A"/>
    <w:rsid w:val="000550FB"/>
    <w:rsid w:val="0005510D"/>
    <w:rsid w:val="00055937"/>
    <w:rsid w:val="000559DE"/>
    <w:rsid w:val="00056068"/>
    <w:rsid w:val="00056683"/>
    <w:rsid w:val="00056BCA"/>
    <w:rsid w:val="00056D31"/>
    <w:rsid w:val="000572B7"/>
    <w:rsid w:val="00057464"/>
    <w:rsid w:val="00057E67"/>
    <w:rsid w:val="00061250"/>
    <w:rsid w:val="00061636"/>
    <w:rsid w:val="00061EFC"/>
    <w:rsid w:val="00061F9B"/>
    <w:rsid w:val="000620F8"/>
    <w:rsid w:val="0006264B"/>
    <w:rsid w:val="000626D0"/>
    <w:rsid w:val="000629AA"/>
    <w:rsid w:val="00062D4E"/>
    <w:rsid w:val="00063D90"/>
    <w:rsid w:val="000649B2"/>
    <w:rsid w:val="00064B32"/>
    <w:rsid w:val="00064E2D"/>
    <w:rsid w:val="00065491"/>
    <w:rsid w:val="00065C40"/>
    <w:rsid w:val="00065F1E"/>
    <w:rsid w:val="000667FA"/>
    <w:rsid w:val="00066EDE"/>
    <w:rsid w:val="000677B3"/>
    <w:rsid w:val="00067C6E"/>
    <w:rsid w:val="000710C6"/>
    <w:rsid w:val="00071256"/>
    <w:rsid w:val="000712C3"/>
    <w:rsid w:val="000715E9"/>
    <w:rsid w:val="00071CE2"/>
    <w:rsid w:val="00071EF3"/>
    <w:rsid w:val="0007275B"/>
    <w:rsid w:val="000732F9"/>
    <w:rsid w:val="00073994"/>
    <w:rsid w:val="00073CA0"/>
    <w:rsid w:val="00073DAA"/>
    <w:rsid w:val="000740A1"/>
    <w:rsid w:val="000742D9"/>
    <w:rsid w:val="00074773"/>
    <w:rsid w:val="00074C4A"/>
    <w:rsid w:val="0007502A"/>
    <w:rsid w:val="000754FB"/>
    <w:rsid w:val="0007560A"/>
    <w:rsid w:val="00075E04"/>
    <w:rsid w:val="00075E9A"/>
    <w:rsid w:val="000769EE"/>
    <w:rsid w:val="00077A62"/>
    <w:rsid w:val="000800E5"/>
    <w:rsid w:val="0008075C"/>
    <w:rsid w:val="000813E6"/>
    <w:rsid w:val="00081D8C"/>
    <w:rsid w:val="00081F44"/>
    <w:rsid w:val="000821A9"/>
    <w:rsid w:val="000822C6"/>
    <w:rsid w:val="00082C7F"/>
    <w:rsid w:val="000835A1"/>
    <w:rsid w:val="0008379B"/>
    <w:rsid w:val="00083BBE"/>
    <w:rsid w:val="00084004"/>
    <w:rsid w:val="00085862"/>
    <w:rsid w:val="000859AC"/>
    <w:rsid w:val="00086706"/>
    <w:rsid w:val="000870BB"/>
    <w:rsid w:val="000879F8"/>
    <w:rsid w:val="000908B1"/>
    <w:rsid w:val="0009120E"/>
    <w:rsid w:val="00091AC7"/>
    <w:rsid w:val="0009243A"/>
    <w:rsid w:val="00093670"/>
    <w:rsid w:val="00093C25"/>
    <w:rsid w:val="00093C8B"/>
    <w:rsid w:val="00093E6C"/>
    <w:rsid w:val="0009495B"/>
    <w:rsid w:val="000949F2"/>
    <w:rsid w:val="00095B92"/>
    <w:rsid w:val="000961B5"/>
    <w:rsid w:val="00096E0F"/>
    <w:rsid w:val="000973D5"/>
    <w:rsid w:val="000A00D4"/>
    <w:rsid w:val="000A0390"/>
    <w:rsid w:val="000A0604"/>
    <w:rsid w:val="000A0781"/>
    <w:rsid w:val="000A0CF9"/>
    <w:rsid w:val="000A1233"/>
    <w:rsid w:val="000A18CF"/>
    <w:rsid w:val="000A1900"/>
    <w:rsid w:val="000A2007"/>
    <w:rsid w:val="000A237E"/>
    <w:rsid w:val="000A2427"/>
    <w:rsid w:val="000A2464"/>
    <w:rsid w:val="000A2645"/>
    <w:rsid w:val="000A2B44"/>
    <w:rsid w:val="000A31CD"/>
    <w:rsid w:val="000A332B"/>
    <w:rsid w:val="000A3A3F"/>
    <w:rsid w:val="000A3DC0"/>
    <w:rsid w:val="000A3EEB"/>
    <w:rsid w:val="000A419A"/>
    <w:rsid w:val="000A4C90"/>
    <w:rsid w:val="000A5128"/>
    <w:rsid w:val="000A56F3"/>
    <w:rsid w:val="000A5986"/>
    <w:rsid w:val="000A5C6A"/>
    <w:rsid w:val="000A6274"/>
    <w:rsid w:val="000A6277"/>
    <w:rsid w:val="000A63DD"/>
    <w:rsid w:val="000A6A3F"/>
    <w:rsid w:val="000A7FDC"/>
    <w:rsid w:val="000B01E1"/>
    <w:rsid w:val="000B0E9C"/>
    <w:rsid w:val="000B0EB4"/>
    <w:rsid w:val="000B27D2"/>
    <w:rsid w:val="000B2CFF"/>
    <w:rsid w:val="000B339A"/>
    <w:rsid w:val="000B37EB"/>
    <w:rsid w:val="000B4084"/>
    <w:rsid w:val="000B4312"/>
    <w:rsid w:val="000B444D"/>
    <w:rsid w:val="000B4660"/>
    <w:rsid w:val="000B55F1"/>
    <w:rsid w:val="000B58D0"/>
    <w:rsid w:val="000B6576"/>
    <w:rsid w:val="000B6CC7"/>
    <w:rsid w:val="000B6CE6"/>
    <w:rsid w:val="000B77A0"/>
    <w:rsid w:val="000B7FEE"/>
    <w:rsid w:val="000C0778"/>
    <w:rsid w:val="000C0B5F"/>
    <w:rsid w:val="000C0ECD"/>
    <w:rsid w:val="000C17AE"/>
    <w:rsid w:val="000C1930"/>
    <w:rsid w:val="000C1D01"/>
    <w:rsid w:val="000C26D6"/>
    <w:rsid w:val="000C280B"/>
    <w:rsid w:val="000C3AAD"/>
    <w:rsid w:val="000C40C1"/>
    <w:rsid w:val="000C4282"/>
    <w:rsid w:val="000C4292"/>
    <w:rsid w:val="000C4431"/>
    <w:rsid w:val="000C48D2"/>
    <w:rsid w:val="000C4EDE"/>
    <w:rsid w:val="000C5103"/>
    <w:rsid w:val="000C52C4"/>
    <w:rsid w:val="000C57C2"/>
    <w:rsid w:val="000C5A52"/>
    <w:rsid w:val="000C5B46"/>
    <w:rsid w:val="000C5E1E"/>
    <w:rsid w:val="000D0C5A"/>
    <w:rsid w:val="000D0C81"/>
    <w:rsid w:val="000D1885"/>
    <w:rsid w:val="000D1BF0"/>
    <w:rsid w:val="000D228C"/>
    <w:rsid w:val="000D343E"/>
    <w:rsid w:val="000D345A"/>
    <w:rsid w:val="000D34E6"/>
    <w:rsid w:val="000D384C"/>
    <w:rsid w:val="000D4C88"/>
    <w:rsid w:val="000D5DFA"/>
    <w:rsid w:val="000D6213"/>
    <w:rsid w:val="000D637F"/>
    <w:rsid w:val="000D685D"/>
    <w:rsid w:val="000D6E5D"/>
    <w:rsid w:val="000D7A5C"/>
    <w:rsid w:val="000E00CE"/>
    <w:rsid w:val="000E0489"/>
    <w:rsid w:val="000E05BE"/>
    <w:rsid w:val="000E05F4"/>
    <w:rsid w:val="000E17A7"/>
    <w:rsid w:val="000E1D3A"/>
    <w:rsid w:val="000E22B9"/>
    <w:rsid w:val="000E3C7E"/>
    <w:rsid w:val="000E4110"/>
    <w:rsid w:val="000E4282"/>
    <w:rsid w:val="000E475F"/>
    <w:rsid w:val="000E4913"/>
    <w:rsid w:val="000E4F15"/>
    <w:rsid w:val="000E5079"/>
    <w:rsid w:val="000E512F"/>
    <w:rsid w:val="000E5758"/>
    <w:rsid w:val="000E5AB3"/>
    <w:rsid w:val="000E5FBF"/>
    <w:rsid w:val="000E6274"/>
    <w:rsid w:val="000E69B3"/>
    <w:rsid w:val="000E6ADA"/>
    <w:rsid w:val="000E6CA1"/>
    <w:rsid w:val="000E7981"/>
    <w:rsid w:val="000F042D"/>
    <w:rsid w:val="000F04CF"/>
    <w:rsid w:val="000F1768"/>
    <w:rsid w:val="000F185B"/>
    <w:rsid w:val="000F235B"/>
    <w:rsid w:val="000F24FE"/>
    <w:rsid w:val="000F293C"/>
    <w:rsid w:val="000F3068"/>
    <w:rsid w:val="000F346B"/>
    <w:rsid w:val="000F3477"/>
    <w:rsid w:val="000F351C"/>
    <w:rsid w:val="000F3796"/>
    <w:rsid w:val="000F3951"/>
    <w:rsid w:val="000F49AB"/>
    <w:rsid w:val="000F4EEC"/>
    <w:rsid w:val="000F5021"/>
    <w:rsid w:val="000F55F9"/>
    <w:rsid w:val="000F64C1"/>
    <w:rsid w:val="000F72CA"/>
    <w:rsid w:val="000F7829"/>
    <w:rsid w:val="000F7B42"/>
    <w:rsid w:val="00100609"/>
    <w:rsid w:val="00100CB2"/>
    <w:rsid w:val="00100DCD"/>
    <w:rsid w:val="00100EA1"/>
    <w:rsid w:val="00101151"/>
    <w:rsid w:val="00101181"/>
    <w:rsid w:val="00101B0F"/>
    <w:rsid w:val="001020E3"/>
    <w:rsid w:val="001022C3"/>
    <w:rsid w:val="001031E1"/>
    <w:rsid w:val="001034B2"/>
    <w:rsid w:val="001037D6"/>
    <w:rsid w:val="001038DF"/>
    <w:rsid w:val="00103D80"/>
    <w:rsid w:val="00104003"/>
    <w:rsid w:val="00104288"/>
    <w:rsid w:val="00104336"/>
    <w:rsid w:val="00104CF0"/>
    <w:rsid w:val="00105D55"/>
    <w:rsid w:val="00106492"/>
    <w:rsid w:val="00106A24"/>
    <w:rsid w:val="00107774"/>
    <w:rsid w:val="001079B0"/>
    <w:rsid w:val="00110734"/>
    <w:rsid w:val="00110B3D"/>
    <w:rsid w:val="0011109A"/>
    <w:rsid w:val="001110B7"/>
    <w:rsid w:val="00111555"/>
    <w:rsid w:val="00111A73"/>
    <w:rsid w:val="001122F2"/>
    <w:rsid w:val="001127B5"/>
    <w:rsid w:val="00112F65"/>
    <w:rsid w:val="00113162"/>
    <w:rsid w:val="00115AC6"/>
    <w:rsid w:val="0011734C"/>
    <w:rsid w:val="001176DE"/>
    <w:rsid w:val="0012011A"/>
    <w:rsid w:val="00120392"/>
    <w:rsid w:val="00120496"/>
    <w:rsid w:val="001220F4"/>
    <w:rsid w:val="001224C9"/>
    <w:rsid w:val="00122F99"/>
    <w:rsid w:val="00123221"/>
    <w:rsid w:val="00123261"/>
    <w:rsid w:val="00123596"/>
    <w:rsid w:val="0012399D"/>
    <w:rsid w:val="0012509B"/>
    <w:rsid w:val="00125219"/>
    <w:rsid w:val="00125DC8"/>
    <w:rsid w:val="00126BE1"/>
    <w:rsid w:val="001270A9"/>
    <w:rsid w:val="001274BB"/>
    <w:rsid w:val="00127992"/>
    <w:rsid w:val="001279DB"/>
    <w:rsid w:val="00127F10"/>
    <w:rsid w:val="00130321"/>
    <w:rsid w:val="001308A4"/>
    <w:rsid w:val="00131523"/>
    <w:rsid w:val="00132E1B"/>
    <w:rsid w:val="00132F85"/>
    <w:rsid w:val="00133BC6"/>
    <w:rsid w:val="00133D4F"/>
    <w:rsid w:val="00134042"/>
    <w:rsid w:val="00134287"/>
    <w:rsid w:val="00134337"/>
    <w:rsid w:val="001373E7"/>
    <w:rsid w:val="001379A4"/>
    <w:rsid w:val="001407C4"/>
    <w:rsid w:val="00140B1E"/>
    <w:rsid w:val="00141227"/>
    <w:rsid w:val="00142089"/>
    <w:rsid w:val="00143182"/>
    <w:rsid w:val="00143374"/>
    <w:rsid w:val="001435A6"/>
    <w:rsid w:val="00143628"/>
    <w:rsid w:val="001436B0"/>
    <w:rsid w:val="00143804"/>
    <w:rsid w:val="00143CA9"/>
    <w:rsid w:val="001446F2"/>
    <w:rsid w:val="0014490B"/>
    <w:rsid w:val="00144B45"/>
    <w:rsid w:val="00145340"/>
    <w:rsid w:val="00145B6E"/>
    <w:rsid w:val="001462E9"/>
    <w:rsid w:val="0014666C"/>
    <w:rsid w:val="001468DE"/>
    <w:rsid w:val="00146BFE"/>
    <w:rsid w:val="00147222"/>
    <w:rsid w:val="00147AD6"/>
    <w:rsid w:val="00147C79"/>
    <w:rsid w:val="001510C6"/>
    <w:rsid w:val="001523AA"/>
    <w:rsid w:val="00152CD1"/>
    <w:rsid w:val="00153788"/>
    <w:rsid w:val="00153929"/>
    <w:rsid w:val="0015395F"/>
    <w:rsid w:val="001550E6"/>
    <w:rsid w:val="00155332"/>
    <w:rsid w:val="0015595E"/>
    <w:rsid w:val="00155D7F"/>
    <w:rsid w:val="001564C4"/>
    <w:rsid w:val="00156F93"/>
    <w:rsid w:val="001570CC"/>
    <w:rsid w:val="00157D10"/>
    <w:rsid w:val="0016012D"/>
    <w:rsid w:val="0016058A"/>
    <w:rsid w:val="00160A94"/>
    <w:rsid w:val="00160E9F"/>
    <w:rsid w:val="00161158"/>
    <w:rsid w:val="001616D3"/>
    <w:rsid w:val="0016179F"/>
    <w:rsid w:val="0016207B"/>
    <w:rsid w:val="0016283D"/>
    <w:rsid w:val="00162B27"/>
    <w:rsid w:val="00162F58"/>
    <w:rsid w:val="00163803"/>
    <w:rsid w:val="00163B4F"/>
    <w:rsid w:val="00163EDE"/>
    <w:rsid w:val="00164260"/>
    <w:rsid w:val="001643A3"/>
    <w:rsid w:val="001646FD"/>
    <w:rsid w:val="00164DBD"/>
    <w:rsid w:val="00165148"/>
    <w:rsid w:val="00165766"/>
    <w:rsid w:val="00166242"/>
    <w:rsid w:val="0016624C"/>
    <w:rsid w:val="001669F5"/>
    <w:rsid w:val="00166BBE"/>
    <w:rsid w:val="00166FF4"/>
    <w:rsid w:val="00167020"/>
    <w:rsid w:val="001674F7"/>
    <w:rsid w:val="0017060A"/>
    <w:rsid w:val="0017064F"/>
    <w:rsid w:val="001707E1"/>
    <w:rsid w:val="00171044"/>
    <w:rsid w:val="0017126D"/>
    <w:rsid w:val="00171759"/>
    <w:rsid w:val="00171B71"/>
    <w:rsid w:val="00172458"/>
    <w:rsid w:val="001728C4"/>
    <w:rsid w:val="0017292E"/>
    <w:rsid w:val="0017371D"/>
    <w:rsid w:val="00173B12"/>
    <w:rsid w:val="00175449"/>
    <w:rsid w:val="00176FF2"/>
    <w:rsid w:val="0017787C"/>
    <w:rsid w:val="00177A27"/>
    <w:rsid w:val="00177C47"/>
    <w:rsid w:val="00180632"/>
    <w:rsid w:val="001808B2"/>
    <w:rsid w:val="001809D2"/>
    <w:rsid w:val="00180EB6"/>
    <w:rsid w:val="00181183"/>
    <w:rsid w:val="00183504"/>
    <w:rsid w:val="001838A4"/>
    <w:rsid w:val="00183C80"/>
    <w:rsid w:val="00183E5E"/>
    <w:rsid w:val="00184B5F"/>
    <w:rsid w:val="00184C31"/>
    <w:rsid w:val="00185158"/>
    <w:rsid w:val="001851AE"/>
    <w:rsid w:val="001858DF"/>
    <w:rsid w:val="00186925"/>
    <w:rsid w:val="001869A9"/>
    <w:rsid w:val="0018757D"/>
    <w:rsid w:val="001909E3"/>
    <w:rsid w:val="00190D87"/>
    <w:rsid w:val="001910AF"/>
    <w:rsid w:val="0019190E"/>
    <w:rsid w:val="00191B10"/>
    <w:rsid w:val="00191BC0"/>
    <w:rsid w:val="00191BD6"/>
    <w:rsid w:val="00192892"/>
    <w:rsid w:val="00192B8C"/>
    <w:rsid w:val="00192CBA"/>
    <w:rsid w:val="001939D5"/>
    <w:rsid w:val="00193D2F"/>
    <w:rsid w:val="00193ED0"/>
    <w:rsid w:val="00194001"/>
    <w:rsid w:val="001957AB"/>
    <w:rsid w:val="00196278"/>
    <w:rsid w:val="00196B02"/>
    <w:rsid w:val="0019712C"/>
    <w:rsid w:val="00197B8D"/>
    <w:rsid w:val="00197D26"/>
    <w:rsid w:val="001A0384"/>
    <w:rsid w:val="001A057A"/>
    <w:rsid w:val="001A0F68"/>
    <w:rsid w:val="001A1806"/>
    <w:rsid w:val="001A2488"/>
    <w:rsid w:val="001A25CA"/>
    <w:rsid w:val="001A2B22"/>
    <w:rsid w:val="001A2BC1"/>
    <w:rsid w:val="001A2C01"/>
    <w:rsid w:val="001A2F35"/>
    <w:rsid w:val="001A3257"/>
    <w:rsid w:val="001A3AA3"/>
    <w:rsid w:val="001A3CFB"/>
    <w:rsid w:val="001A6431"/>
    <w:rsid w:val="001A6A0B"/>
    <w:rsid w:val="001A71C2"/>
    <w:rsid w:val="001A7201"/>
    <w:rsid w:val="001A74E5"/>
    <w:rsid w:val="001A77D7"/>
    <w:rsid w:val="001B045B"/>
    <w:rsid w:val="001B0539"/>
    <w:rsid w:val="001B0957"/>
    <w:rsid w:val="001B0D1D"/>
    <w:rsid w:val="001B0EB3"/>
    <w:rsid w:val="001B2234"/>
    <w:rsid w:val="001B2315"/>
    <w:rsid w:val="001B25A6"/>
    <w:rsid w:val="001B2694"/>
    <w:rsid w:val="001B2B47"/>
    <w:rsid w:val="001B2C2D"/>
    <w:rsid w:val="001B2C3A"/>
    <w:rsid w:val="001B2C70"/>
    <w:rsid w:val="001B2F4C"/>
    <w:rsid w:val="001B3F1D"/>
    <w:rsid w:val="001B41BB"/>
    <w:rsid w:val="001B45D7"/>
    <w:rsid w:val="001B496D"/>
    <w:rsid w:val="001B5598"/>
    <w:rsid w:val="001B57CF"/>
    <w:rsid w:val="001B5A33"/>
    <w:rsid w:val="001B5E45"/>
    <w:rsid w:val="001B62F3"/>
    <w:rsid w:val="001B67CD"/>
    <w:rsid w:val="001B7EB6"/>
    <w:rsid w:val="001C0343"/>
    <w:rsid w:val="001C0696"/>
    <w:rsid w:val="001C0D44"/>
    <w:rsid w:val="001C1207"/>
    <w:rsid w:val="001C1264"/>
    <w:rsid w:val="001C1494"/>
    <w:rsid w:val="001C1499"/>
    <w:rsid w:val="001C2196"/>
    <w:rsid w:val="001C28F6"/>
    <w:rsid w:val="001C2D62"/>
    <w:rsid w:val="001C2E55"/>
    <w:rsid w:val="001C2F9D"/>
    <w:rsid w:val="001C42A7"/>
    <w:rsid w:val="001C4740"/>
    <w:rsid w:val="001C4D50"/>
    <w:rsid w:val="001C52D4"/>
    <w:rsid w:val="001C54DD"/>
    <w:rsid w:val="001C5AF9"/>
    <w:rsid w:val="001C7573"/>
    <w:rsid w:val="001C7E75"/>
    <w:rsid w:val="001C7FD7"/>
    <w:rsid w:val="001D0379"/>
    <w:rsid w:val="001D15FA"/>
    <w:rsid w:val="001D1836"/>
    <w:rsid w:val="001D1E17"/>
    <w:rsid w:val="001D209D"/>
    <w:rsid w:val="001D25EF"/>
    <w:rsid w:val="001D26A3"/>
    <w:rsid w:val="001D31AA"/>
    <w:rsid w:val="001D3262"/>
    <w:rsid w:val="001D3357"/>
    <w:rsid w:val="001D33B4"/>
    <w:rsid w:val="001D3F03"/>
    <w:rsid w:val="001D41C2"/>
    <w:rsid w:val="001D47E8"/>
    <w:rsid w:val="001D4CC9"/>
    <w:rsid w:val="001D4DDB"/>
    <w:rsid w:val="001D595C"/>
    <w:rsid w:val="001D5EB4"/>
    <w:rsid w:val="001D628F"/>
    <w:rsid w:val="001D639B"/>
    <w:rsid w:val="001D6469"/>
    <w:rsid w:val="001D67D7"/>
    <w:rsid w:val="001D6AE8"/>
    <w:rsid w:val="001D6B5F"/>
    <w:rsid w:val="001D6B79"/>
    <w:rsid w:val="001D6FC3"/>
    <w:rsid w:val="001D7004"/>
    <w:rsid w:val="001D717F"/>
    <w:rsid w:val="001D7A38"/>
    <w:rsid w:val="001D7E11"/>
    <w:rsid w:val="001E0FF7"/>
    <w:rsid w:val="001E1138"/>
    <w:rsid w:val="001E18B1"/>
    <w:rsid w:val="001E20E2"/>
    <w:rsid w:val="001E2BA2"/>
    <w:rsid w:val="001E334F"/>
    <w:rsid w:val="001E39CF"/>
    <w:rsid w:val="001E3E11"/>
    <w:rsid w:val="001E3E82"/>
    <w:rsid w:val="001E3FF1"/>
    <w:rsid w:val="001E44D6"/>
    <w:rsid w:val="001E4C94"/>
    <w:rsid w:val="001E545D"/>
    <w:rsid w:val="001E5814"/>
    <w:rsid w:val="001E7001"/>
    <w:rsid w:val="001E702F"/>
    <w:rsid w:val="001E7113"/>
    <w:rsid w:val="001E79E0"/>
    <w:rsid w:val="001E7A09"/>
    <w:rsid w:val="001E7CA0"/>
    <w:rsid w:val="001E7DE7"/>
    <w:rsid w:val="001F0201"/>
    <w:rsid w:val="001F092B"/>
    <w:rsid w:val="001F0A63"/>
    <w:rsid w:val="001F15E3"/>
    <w:rsid w:val="001F1924"/>
    <w:rsid w:val="001F193F"/>
    <w:rsid w:val="001F1A75"/>
    <w:rsid w:val="001F204C"/>
    <w:rsid w:val="001F2271"/>
    <w:rsid w:val="001F2834"/>
    <w:rsid w:val="001F286C"/>
    <w:rsid w:val="001F2C73"/>
    <w:rsid w:val="001F33BF"/>
    <w:rsid w:val="001F3AB9"/>
    <w:rsid w:val="001F40DA"/>
    <w:rsid w:val="001F4583"/>
    <w:rsid w:val="001F46EF"/>
    <w:rsid w:val="001F4815"/>
    <w:rsid w:val="001F57D9"/>
    <w:rsid w:val="001F68DB"/>
    <w:rsid w:val="001F6E6E"/>
    <w:rsid w:val="001F7103"/>
    <w:rsid w:val="001F7DDB"/>
    <w:rsid w:val="002002FC"/>
    <w:rsid w:val="00200383"/>
    <w:rsid w:val="00200F71"/>
    <w:rsid w:val="00201143"/>
    <w:rsid w:val="00201199"/>
    <w:rsid w:val="00201A05"/>
    <w:rsid w:val="00202547"/>
    <w:rsid w:val="00202A3D"/>
    <w:rsid w:val="00202B84"/>
    <w:rsid w:val="00203842"/>
    <w:rsid w:val="00204581"/>
    <w:rsid w:val="0020580B"/>
    <w:rsid w:val="00205999"/>
    <w:rsid w:val="00205C88"/>
    <w:rsid w:val="0020627C"/>
    <w:rsid w:val="00206919"/>
    <w:rsid w:val="00206C79"/>
    <w:rsid w:val="00206D67"/>
    <w:rsid w:val="0020709C"/>
    <w:rsid w:val="00207294"/>
    <w:rsid w:val="00207515"/>
    <w:rsid w:val="00207683"/>
    <w:rsid w:val="0020798C"/>
    <w:rsid w:val="0021042A"/>
    <w:rsid w:val="002112D3"/>
    <w:rsid w:val="00211825"/>
    <w:rsid w:val="00211E53"/>
    <w:rsid w:val="00212511"/>
    <w:rsid w:val="00212B34"/>
    <w:rsid w:val="00212CE1"/>
    <w:rsid w:val="00213BF7"/>
    <w:rsid w:val="00213D37"/>
    <w:rsid w:val="00214280"/>
    <w:rsid w:val="002154C8"/>
    <w:rsid w:val="00216D0F"/>
    <w:rsid w:val="002174C4"/>
    <w:rsid w:val="002178A2"/>
    <w:rsid w:val="00217C1B"/>
    <w:rsid w:val="00217C62"/>
    <w:rsid w:val="00220277"/>
    <w:rsid w:val="00220323"/>
    <w:rsid w:val="0022061B"/>
    <w:rsid w:val="00220699"/>
    <w:rsid w:val="00220FA7"/>
    <w:rsid w:val="0022174A"/>
    <w:rsid w:val="00221AE8"/>
    <w:rsid w:val="00221E8B"/>
    <w:rsid w:val="00222003"/>
    <w:rsid w:val="002221DA"/>
    <w:rsid w:val="00222AA9"/>
    <w:rsid w:val="0022338F"/>
    <w:rsid w:val="0022345B"/>
    <w:rsid w:val="00223D08"/>
    <w:rsid w:val="00224089"/>
    <w:rsid w:val="0022443E"/>
    <w:rsid w:val="00224D51"/>
    <w:rsid w:val="00225476"/>
    <w:rsid w:val="002258E0"/>
    <w:rsid w:val="00225CC1"/>
    <w:rsid w:val="0022654A"/>
    <w:rsid w:val="00226AF0"/>
    <w:rsid w:val="00226C48"/>
    <w:rsid w:val="00226F02"/>
    <w:rsid w:val="00227640"/>
    <w:rsid w:val="00227B86"/>
    <w:rsid w:val="00227FBE"/>
    <w:rsid w:val="00230020"/>
    <w:rsid w:val="00230418"/>
    <w:rsid w:val="0023047F"/>
    <w:rsid w:val="00230BBD"/>
    <w:rsid w:val="00230F5D"/>
    <w:rsid w:val="002316CE"/>
    <w:rsid w:val="00231CAF"/>
    <w:rsid w:val="00231DB4"/>
    <w:rsid w:val="00232BF8"/>
    <w:rsid w:val="00233983"/>
    <w:rsid w:val="00233A29"/>
    <w:rsid w:val="00233B21"/>
    <w:rsid w:val="00233B9E"/>
    <w:rsid w:val="00235DAD"/>
    <w:rsid w:val="00235FA3"/>
    <w:rsid w:val="002364FA"/>
    <w:rsid w:val="0023795E"/>
    <w:rsid w:val="0024009C"/>
    <w:rsid w:val="0024078A"/>
    <w:rsid w:val="00241238"/>
    <w:rsid w:val="00241A42"/>
    <w:rsid w:val="00241ACC"/>
    <w:rsid w:val="00241E5C"/>
    <w:rsid w:val="00241FCB"/>
    <w:rsid w:val="002420B6"/>
    <w:rsid w:val="00242B3A"/>
    <w:rsid w:val="00242BE8"/>
    <w:rsid w:val="00242F1D"/>
    <w:rsid w:val="002432A9"/>
    <w:rsid w:val="00243939"/>
    <w:rsid w:val="00243F78"/>
    <w:rsid w:val="00244416"/>
    <w:rsid w:val="0024524E"/>
    <w:rsid w:val="00246048"/>
    <w:rsid w:val="00246163"/>
    <w:rsid w:val="00246630"/>
    <w:rsid w:val="002467A6"/>
    <w:rsid w:val="002476A9"/>
    <w:rsid w:val="00247B18"/>
    <w:rsid w:val="002501A7"/>
    <w:rsid w:val="0025069D"/>
    <w:rsid w:val="00250D35"/>
    <w:rsid w:val="002516E7"/>
    <w:rsid w:val="00252212"/>
    <w:rsid w:val="00252306"/>
    <w:rsid w:val="002524D6"/>
    <w:rsid w:val="0025273B"/>
    <w:rsid w:val="00253034"/>
    <w:rsid w:val="002530C7"/>
    <w:rsid w:val="00253EDF"/>
    <w:rsid w:val="00254745"/>
    <w:rsid w:val="002549D7"/>
    <w:rsid w:val="002553D1"/>
    <w:rsid w:val="00255667"/>
    <w:rsid w:val="00255723"/>
    <w:rsid w:val="00256B65"/>
    <w:rsid w:val="00257091"/>
    <w:rsid w:val="002572DF"/>
    <w:rsid w:val="00257DBF"/>
    <w:rsid w:val="00257EEB"/>
    <w:rsid w:val="0026075A"/>
    <w:rsid w:val="00260A34"/>
    <w:rsid w:val="00260FAD"/>
    <w:rsid w:val="002617ED"/>
    <w:rsid w:val="00261A56"/>
    <w:rsid w:val="00261BFF"/>
    <w:rsid w:val="00261F85"/>
    <w:rsid w:val="00263513"/>
    <w:rsid w:val="00263A28"/>
    <w:rsid w:val="00264238"/>
    <w:rsid w:val="002653BB"/>
    <w:rsid w:val="00265A66"/>
    <w:rsid w:val="00265C7D"/>
    <w:rsid w:val="0026701F"/>
    <w:rsid w:val="0026715F"/>
    <w:rsid w:val="00267DF3"/>
    <w:rsid w:val="00270E9B"/>
    <w:rsid w:val="0027168B"/>
    <w:rsid w:val="00271908"/>
    <w:rsid w:val="00271AAB"/>
    <w:rsid w:val="00271F7A"/>
    <w:rsid w:val="002724ED"/>
    <w:rsid w:val="00272909"/>
    <w:rsid w:val="00272FE4"/>
    <w:rsid w:val="00273B29"/>
    <w:rsid w:val="002741C1"/>
    <w:rsid w:val="00274206"/>
    <w:rsid w:val="002742C1"/>
    <w:rsid w:val="00274EF1"/>
    <w:rsid w:val="00275A0F"/>
    <w:rsid w:val="0027647E"/>
    <w:rsid w:val="00276DB3"/>
    <w:rsid w:val="00276F36"/>
    <w:rsid w:val="0027734A"/>
    <w:rsid w:val="0027735A"/>
    <w:rsid w:val="00277840"/>
    <w:rsid w:val="002778AC"/>
    <w:rsid w:val="00277CD6"/>
    <w:rsid w:val="00277E77"/>
    <w:rsid w:val="00277FCB"/>
    <w:rsid w:val="00280898"/>
    <w:rsid w:val="00280ED3"/>
    <w:rsid w:val="00281D95"/>
    <w:rsid w:val="00282086"/>
    <w:rsid w:val="002820A5"/>
    <w:rsid w:val="002823D2"/>
    <w:rsid w:val="002824ED"/>
    <w:rsid w:val="00282734"/>
    <w:rsid w:val="00282EBB"/>
    <w:rsid w:val="00283083"/>
    <w:rsid w:val="00283166"/>
    <w:rsid w:val="002832BB"/>
    <w:rsid w:val="002833FB"/>
    <w:rsid w:val="00283B78"/>
    <w:rsid w:val="00283D5E"/>
    <w:rsid w:val="0028400D"/>
    <w:rsid w:val="002842D4"/>
    <w:rsid w:val="00284F4C"/>
    <w:rsid w:val="0028539C"/>
    <w:rsid w:val="00285FA9"/>
    <w:rsid w:val="00286253"/>
    <w:rsid w:val="002863D7"/>
    <w:rsid w:val="00286480"/>
    <w:rsid w:val="00286778"/>
    <w:rsid w:val="002867BD"/>
    <w:rsid w:val="002873F5"/>
    <w:rsid w:val="002876E8"/>
    <w:rsid w:val="002904B8"/>
    <w:rsid w:val="002907F2"/>
    <w:rsid w:val="00290C46"/>
    <w:rsid w:val="00291600"/>
    <w:rsid w:val="00292054"/>
    <w:rsid w:val="00292D25"/>
    <w:rsid w:val="00292E3F"/>
    <w:rsid w:val="002933C0"/>
    <w:rsid w:val="00293744"/>
    <w:rsid w:val="002937C8"/>
    <w:rsid w:val="002937E3"/>
    <w:rsid w:val="00293B2B"/>
    <w:rsid w:val="00293D3E"/>
    <w:rsid w:val="00294932"/>
    <w:rsid w:val="00295767"/>
    <w:rsid w:val="00295B3E"/>
    <w:rsid w:val="002961EB"/>
    <w:rsid w:val="00296442"/>
    <w:rsid w:val="00296657"/>
    <w:rsid w:val="0029679A"/>
    <w:rsid w:val="00296A56"/>
    <w:rsid w:val="00296ABE"/>
    <w:rsid w:val="00296E50"/>
    <w:rsid w:val="0029709A"/>
    <w:rsid w:val="002A02DE"/>
    <w:rsid w:val="002A0981"/>
    <w:rsid w:val="002A0D79"/>
    <w:rsid w:val="002A1040"/>
    <w:rsid w:val="002A13DB"/>
    <w:rsid w:val="002A1452"/>
    <w:rsid w:val="002A1704"/>
    <w:rsid w:val="002A1767"/>
    <w:rsid w:val="002A19FA"/>
    <w:rsid w:val="002A1EAD"/>
    <w:rsid w:val="002A2FA3"/>
    <w:rsid w:val="002A36FE"/>
    <w:rsid w:val="002A3750"/>
    <w:rsid w:val="002A381C"/>
    <w:rsid w:val="002A437B"/>
    <w:rsid w:val="002A44C3"/>
    <w:rsid w:val="002A477D"/>
    <w:rsid w:val="002A4B3B"/>
    <w:rsid w:val="002A4F9B"/>
    <w:rsid w:val="002A503C"/>
    <w:rsid w:val="002A6094"/>
    <w:rsid w:val="002A6728"/>
    <w:rsid w:val="002A6753"/>
    <w:rsid w:val="002A6802"/>
    <w:rsid w:val="002A6EC2"/>
    <w:rsid w:val="002A6ED9"/>
    <w:rsid w:val="002B0281"/>
    <w:rsid w:val="002B0B6B"/>
    <w:rsid w:val="002B0CF5"/>
    <w:rsid w:val="002B0EF7"/>
    <w:rsid w:val="002B1EB7"/>
    <w:rsid w:val="002B2029"/>
    <w:rsid w:val="002B23DB"/>
    <w:rsid w:val="002B306B"/>
    <w:rsid w:val="002B3512"/>
    <w:rsid w:val="002B397E"/>
    <w:rsid w:val="002B3997"/>
    <w:rsid w:val="002B3E86"/>
    <w:rsid w:val="002B3EC3"/>
    <w:rsid w:val="002B4208"/>
    <w:rsid w:val="002B4FBB"/>
    <w:rsid w:val="002B6162"/>
    <w:rsid w:val="002B68E6"/>
    <w:rsid w:val="002B6A17"/>
    <w:rsid w:val="002B7048"/>
    <w:rsid w:val="002B7D0E"/>
    <w:rsid w:val="002B7DBD"/>
    <w:rsid w:val="002C0133"/>
    <w:rsid w:val="002C029C"/>
    <w:rsid w:val="002C09A8"/>
    <w:rsid w:val="002C1630"/>
    <w:rsid w:val="002C19E4"/>
    <w:rsid w:val="002C1A8F"/>
    <w:rsid w:val="002C1D80"/>
    <w:rsid w:val="002C2F3E"/>
    <w:rsid w:val="002C327F"/>
    <w:rsid w:val="002C398C"/>
    <w:rsid w:val="002C3A41"/>
    <w:rsid w:val="002C3B7A"/>
    <w:rsid w:val="002C4121"/>
    <w:rsid w:val="002C425C"/>
    <w:rsid w:val="002C4C9A"/>
    <w:rsid w:val="002C5132"/>
    <w:rsid w:val="002C5ADB"/>
    <w:rsid w:val="002C5E81"/>
    <w:rsid w:val="002C652D"/>
    <w:rsid w:val="002C6901"/>
    <w:rsid w:val="002C6A0D"/>
    <w:rsid w:val="002C7817"/>
    <w:rsid w:val="002C7F64"/>
    <w:rsid w:val="002C7F79"/>
    <w:rsid w:val="002D0590"/>
    <w:rsid w:val="002D0BA8"/>
    <w:rsid w:val="002D0EE3"/>
    <w:rsid w:val="002D11A8"/>
    <w:rsid w:val="002D1CDD"/>
    <w:rsid w:val="002D1E8D"/>
    <w:rsid w:val="002D354F"/>
    <w:rsid w:val="002D36A5"/>
    <w:rsid w:val="002D3B00"/>
    <w:rsid w:val="002D4528"/>
    <w:rsid w:val="002D4F24"/>
    <w:rsid w:val="002D65C5"/>
    <w:rsid w:val="002D6864"/>
    <w:rsid w:val="002D7961"/>
    <w:rsid w:val="002E0053"/>
    <w:rsid w:val="002E035A"/>
    <w:rsid w:val="002E069F"/>
    <w:rsid w:val="002E0A7A"/>
    <w:rsid w:val="002E0D16"/>
    <w:rsid w:val="002E1767"/>
    <w:rsid w:val="002E1B24"/>
    <w:rsid w:val="002E1C19"/>
    <w:rsid w:val="002E22D5"/>
    <w:rsid w:val="002E2BFC"/>
    <w:rsid w:val="002E2E7E"/>
    <w:rsid w:val="002E49CB"/>
    <w:rsid w:val="002E4A06"/>
    <w:rsid w:val="002E51CD"/>
    <w:rsid w:val="002E5F08"/>
    <w:rsid w:val="002E66B7"/>
    <w:rsid w:val="002E6A83"/>
    <w:rsid w:val="002E747A"/>
    <w:rsid w:val="002E7639"/>
    <w:rsid w:val="002F049A"/>
    <w:rsid w:val="002F0C98"/>
    <w:rsid w:val="002F0D2B"/>
    <w:rsid w:val="002F1153"/>
    <w:rsid w:val="002F127F"/>
    <w:rsid w:val="002F1AAD"/>
    <w:rsid w:val="002F2300"/>
    <w:rsid w:val="002F2E95"/>
    <w:rsid w:val="002F3976"/>
    <w:rsid w:val="002F3C03"/>
    <w:rsid w:val="002F5733"/>
    <w:rsid w:val="002F5C6F"/>
    <w:rsid w:val="002F6AF5"/>
    <w:rsid w:val="002F6F1D"/>
    <w:rsid w:val="002F7076"/>
    <w:rsid w:val="002F7721"/>
    <w:rsid w:val="00300AD1"/>
    <w:rsid w:val="00301010"/>
    <w:rsid w:val="003011AD"/>
    <w:rsid w:val="00301584"/>
    <w:rsid w:val="0030212A"/>
    <w:rsid w:val="00302254"/>
    <w:rsid w:val="00302CA9"/>
    <w:rsid w:val="00302E04"/>
    <w:rsid w:val="00303724"/>
    <w:rsid w:val="00303BD2"/>
    <w:rsid w:val="00304D6F"/>
    <w:rsid w:val="00305C05"/>
    <w:rsid w:val="00305C56"/>
    <w:rsid w:val="00305D9A"/>
    <w:rsid w:val="0030602A"/>
    <w:rsid w:val="003060C4"/>
    <w:rsid w:val="0030650B"/>
    <w:rsid w:val="00306E14"/>
    <w:rsid w:val="00307854"/>
    <w:rsid w:val="00310935"/>
    <w:rsid w:val="00310E7E"/>
    <w:rsid w:val="00312912"/>
    <w:rsid w:val="00312994"/>
    <w:rsid w:val="00312CED"/>
    <w:rsid w:val="003132B8"/>
    <w:rsid w:val="00313C1E"/>
    <w:rsid w:val="00313C2D"/>
    <w:rsid w:val="0031421F"/>
    <w:rsid w:val="00314F05"/>
    <w:rsid w:val="00315045"/>
    <w:rsid w:val="003155B5"/>
    <w:rsid w:val="00315C14"/>
    <w:rsid w:val="00316081"/>
    <w:rsid w:val="00316527"/>
    <w:rsid w:val="0031678F"/>
    <w:rsid w:val="00316A1B"/>
    <w:rsid w:val="00317A77"/>
    <w:rsid w:val="00317D6B"/>
    <w:rsid w:val="00317F86"/>
    <w:rsid w:val="0032103C"/>
    <w:rsid w:val="0032174C"/>
    <w:rsid w:val="00321A34"/>
    <w:rsid w:val="00322453"/>
    <w:rsid w:val="003228FA"/>
    <w:rsid w:val="00322B18"/>
    <w:rsid w:val="00322B85"/>
    <w:rsid w:val="00322EF3"/>
    <w:rsid w:val="00324055"/>
    <w:rsid w:val="00324205"/>
    <w:rsid w:val="00324857"/>
    <w:rsid w:val="003249DD"/>
    <w:rsid w:val="00325175"/>
    <w:rsid w:val="003254F4"/>
    <w:rsid w:val="003256D2"/>
    <w:rsid w:val="00325C4E"/>
    <w:rsid w:val="00326244"/>
    <w:rsid w:val="00326293"/>
    <w:rsid w:val="00326DEF"/>
    <w:rsid w:val="00326E68"/>
    <w:rsid w:val="003271DE"/>
    <w:rsid w:val="003272FD"/>
    <w:rsid w:val="00327687"/>
    <w:rsid w:val="00327AE1"/>
    <w:rsid w:val="00327E7A"/>
    <w:rsid w:val="0033004A"/>
    <w:rsid w:val="00330D9D"/>
    <w:rsid w:val="00331315"/>
    <w:rsid w:val="0033161E"/>
    <w:rsid w:val="00331675"/>
    <w:rsid w:val="00332486"/>
    <w:rsid w:val="00332969"/>
    <w:rsid w:val="00332B8E"/>
    <w:rsid w:val="00332BA2"/>
    <w:rsid w:val="00332F85"/>
    <w:rsid w:val="003332FD"/>
    <w:rsid w:val="0033452D"/>
    <w:rsid w:val="00334DCF"/>
    <w:rsid w:val="003354ED"/>
    <w:rsid w:val="00335517"/>
    <w:rsid w:val="00336D94"/>
    <w:rsid w:val="003374E1"/>
    <w:rsid w:val="00337675"/>
    <w:rsid w:val="00337CA5"/>
    <w:rsid w:val="00337FED"/>
    <w:rsid w:val="00340EFA"/>
    <w:rsid w:val="003414C0"/>
    <w:rsid w:val="003426DE"/>
    <w:rsid w:val="00342A5F"/>
    <w:rsid w:val="00343BC7"/>
    <w:rsid w:val="0034434C"/>
    <w:rsid w:val="0034442A"/>
    <w:rsid w:val="00344735"/>
    <w:rsid w:val="00344970"/>
    <w:rsid w:val="00344D94"/>
    <w:rsid w:val="00345217"/>
    <w:rsid w:val="00345EC1"/>
    <w:rsid w:val="003462F3"/>
    <w:rsid w:val="00346366"/>
    <w:rsid w:val="003464D3"/>
    <w:rsid w:val="00346564"/>
    <w:rsid w:val="0034789E"/>
    <w:rsid w:val="00347EF4"/>
    <w:rsid w:val="003500AA"/>
    <w:rsid w:val="00351983"/>
    <w:rsid w:val="003519A0"/>
    <w:rsid w:val="00351A73"/>
    <w:rsid w:val="00351B9B"/>
    <w:rsid w:val="003521A4"/>
    <w:rsid w:val="00352299"/>
    <w:rsid w:val="00353554"/>
    <w:rsid w:val="00353586"/>
    <w:rsid w:val="00353909"/>
    <w:rsid w:val="00353A67"/>
    <w:rsid w:val="00353BB2"/>
    <w:rsid w:val="00353D7E"/>
    <w:rsid w:val="00353D80"/>
    <w:rsid w:val="00353D88"/>
    <w:rsid w:val="00353DFB"/>
    <w:rsid w:val="00353FAC"/>
    <w:rsid w:val="003546A9"/>
    <w:rsid w:val="0035491D"/>
    <w:rsid w:val="0035502C"/>
    <w:rsid w:val="00355340"/>
    <w:rsid w:val="0035600A"/>
    <w:rsid w:val="00356104"/>
    <w:rsid w:val="003563A5"/>
    <w:rsid w:val="003564AA"/>
    <w:rsid w:val="0035658C"/>
    <w:rsid w:val="00356A97"/>
    <w:rsid w:val="00356C51"/>
    <w:rsid w:val="00356ECA"/>
    <w:rsid w:val="003578D2"/>
    <w:rsid w:val="0036038D"/>
    <w:rsid w:val="00360420"/>
    <w:rsid w:val="0036054C"/>
    <w:rsid w:val="0036061C"/>
    <w:rsid w:val="00360655"/>
    <w:rsid w:val="00360D34"/>
    <w:rsid w:val="00360E62"/>
    <w:rsid w:val="0036220E"/>
    <w:rsid w:val="003627F5"/>
    <w:rsid w:val="00362E32"/>
    <w:rsid w:val="00362E51"/>
    <w:rsid w:val="003633C3"/>
    <w:rsid w:val="0036342F"/>
    <w:rsid w:val="00363D3F"/>
    <w:rsid w:val="00363E0E"/>
    <w:rsid w:val="003641AD"/>
    <w:rsid w:val="003641EF"/>
    <w:rsid w:val="00364296"/>
    <w:rsid w:val="0036446C"/>
    <w:rsid w:val="00364A09"/>
    <w:rsid w:val="00364BC0"/>
    <w:rsid w:val="00364DA5"/>
    <w:rsid w:val="00365138"/>
    <w:rsid w:val="0036515F"/>
    <w:rsid w:val="0036597F"/>
    <w:rsid w:val="003661BB"/>
    <w:rsid w:val="00366F35"/>
    <w:rsid w:val="0036774B"/>
    <w:rsid w:val="00367952"/>
    <w:rsid w:val="00367AB4"/>
    <w:rsid w:val="00370078"/>
    <w:rsid w:val="0037015C"/>
    <w:rsid w:val="00370F5D"/>
    <w:rsid w:val="00371849"/>
    <w:rsid w:val="003719A0"/>
    <w:rsid w:val="003719C1"/>
    <w:rsid w:val="00371C22"/>
    <w:rsid w:val="0037299A"/>
    <w:rsid w:val="00372EBC"/>
    <w:rsid w:val="0037319F"/>
    <w:rsid w:val="00373BF9"/>
    <w:rsid w:val="00373FE0"/>
    <w:rsid w:val="003751FE"/>
    <w:rsid w:val="00376F30"/>
    <w:rsid w:val="00377206"/>
    <w:rsid w:val="003778C5"/>
    <w:rsid w:val="00377D6B"/>
    <w:rsid w:val="00377E4B"/>
    <w:rsid w:val="00380112"/>
    <w:rsid w:val="003802D7"/>
    <w:rsid w:val="003805BA"/>
    <w:rsid w:val="003806E5"/>
    <w:rsid w:val="00380748"/>
    <w:rsid w:val="00381597"/>
    <w:rsid w:val="003819A4"/>
    <w:rsid w:val="00381A83"/>
    <w:rsid w:val="00381AA0"/>
    <w:rsid w:val="00381DF8"/>
    <w:rsid w:val="003820CF"/>
    <w:rsid w:val="00382100"/>
    <w:rsid w:val="00382453"/>
    <w:rsid w:val="00382672"/>
    <w:rsid w:val="00382A2B"/>
    <w:rsid w:val="00383402"/>
    <w:rsid w:val="003834BB"/>
    <w:rsid w:val="00383D99"/>
    <w:rsid w:val="0038464C"/>
    <w:rsid w:val="003846A7"/>
    <w:rsid w:val="00384A19"/>
    <w:rsid w:val="00384A73"/>
    <w:rsid w:val="00384BE8"/>
    <w:rsid w:val="0038502B"/>
    <w:rsid w:val="00385418"/>
    <w:rsid w:val="00385CAC"/>
    <w:rsid w:val="00386DDB"/>
    <w:rsid w:val="0038747D"/>
    <w:rsid w:val="00387A36"/>
    <w:rsid w:val="00390290"/>
    <w:rsid w:val="003903EF"/>
    <w:rsid w:val="0039075A"/>
    <w:rsid w:val="0039080D"/>
    <w:rsid w:val="00391217"/>
    <w:rsid w:val="0039121A"/>
    <w:rsid w:val="003919D2"/>
    <w:rsid w:val="00392174"/>
    <w:rsid w:val="00392435"/>
    <w:rsid w:val="003925C5"/>
    <w:rsid w:val="0039270F"/>
    <w:rsid w:val="00392884"/>
    <w:rsid w:val="00393BBD"/>
    <w:rsid w:val="00393E32"/>
    <w:rsid w:val="00393F32"/>
    <w:rsid w:val="003947C8"/>
    <w:rsid w:val="00394A26"/>
    <w:rsid w:val="00394CF1"/>
    <w:rsid w:val="00394E14"/>
    <w:rsid w:val="00395330"/>
    <w:rsid w:val="0039559D"/>
    <w:rsid w:val="003963AA"/>
    <w:rsid w:val="0039710A"/>
    <w:rsid w:val="00397BF2"/>
    <w:rsid w:val="00397CA7"/>
    <w:rsid w:val="003A000A"/>
    <w:rsid w:val="003A18AB"/>
    <w:rsid w:val="003A1B18"/>
    <w:rsid w:val="003A1BD4"/>
    <w:rsid w:val="003A2003"/>
    <w:rsid w:val="003A2697"/>
    <w:rsid w:val="003A33BB"/>
    <w:rsid w:val="003A3405"/>
    <w:rsid w:val="003A3E7E"/>
    <w:rsid w:val="003A4153"/>
    <w:rsid w:val="003A4B48"/>
    <w:rsid w:val="003A5027"/>
    <w:rsid w:val="003A52E6"/>
    <w:rsid w:val="003A5351"/>
    <w:rsid w:val="003A5852"/>
    <w:rsid w:val="003A58BA"/>
    <w:rsid w:val="003A5C75"/>
    <w:rsid w:val="003A6FC6"/>
    <w:rsid w:val="003A7764"/>
    <w:rsid w:val="003A7990"/>
    <w:rsid w:val="003A7FE3"/>
    <w:rsid w:val="003B06B2"/>
    <w:rsid w:val="003B0A09"/>
    <w:rsid w:val="003B0E0D"/>
    <w:rsid w:val="003B105C"/>
    <w:rsid w:val="003B26DC"/>
    <w:rsid w:val="003B2822"/>
    <w:rsid w:val="003B29EC"/>
    <w:rsid w:val="003B2B31"/>
    <w:rsid w:val="003B382A"/>
    <w:rsid w:val="003B39F3"/>
    <w:rsid w:val="003B3BF7"/>
    <w:rsid w:val="003B4332"/>
    <w:rsid w:val="003B5721"/>
    <w:rsid w:val="003B5D5E"/>
    <w:rsid w:val="003B6474"/>
    <w:rsid w:val="003B7C75"/>
    <w:rsid w:val="003B7CA9"/>
    <w:rsid w:val="003C06C9"/>
    <w:rsid w:val="003C1F70"/>
    <w:rsid w:val="003C1FFF"/>
    <w:rsid w:val="003C2021"/>
    <w:rsid w:val="003C344D"/>
    <w:rsid w:val="003C52AD"/>
    <w:rsid w:val="003C5439"/>
    <w:rsid w:val="003C5591"/>
    <w:rsid w:val="003C5A2D"/>
    <w:rsid w:val="003C6A53"/>
    <w:rsid w:val="003C6E5B"/>
    <w:rsid w:val="003C6F2D"/>
    <w:rsid w:val="003C6FEC"/>
    <w:rsid w:val="003C710A"/>
    <w:rsid w:val="003C7E74"/>
    <w:rsid w:val="003D0021"/>
    <w:rsid w:val="003D07A0"/>
    <w:rsid w:val="003D0AAD"/>
    <w:rsid w:val="003D0F32"/>
    <w:rsid w:val="003D195E"/>
    <w:rsid w:val="003D1D84"/>
    <w:rsid w:val="003D2519"/>
    <w:rsid w:val="003D25AD"/>
    <w:rsid w:val="003D27BB"/>
    <w:rsid w:val="003D2AE7"/>
    <w:rsid w:val="003D3107"/>
    <w:rsid w:val="003D47F4"/>
    <w:rsid w:val="003D48BF"/>
    <w:rsid w:val="003D4A35"/>
    <w:rsid w:val="003D4B6B"/>
    <w:rsid w:val="003D54A2"/>
    <w:rsid w:val="003D551C"/>
    <w:rsid w:val="003D5A73"/>
    <w:rsid w:val="003D626C"/>
    <w:rsid w:val="003D6609"/>
    <w:rsid w:val="003D723A"/>
    <w:rsid w:val="003D7530"/>
    <w:rsid w:val="003D7744"/>
    <w:rsid w:val="003E000C"/>
    <w:rsid w:val="003E09ED"/>
    <w:rsid w:val="003E0B03"/>
    <w:rsid w:val="003E0C6A"/>
    <w:rsid w:val="003E0E5A"/>
    <w:rsid w:val="003E0EFA"/>
    <w:rsid w:val="003E117A"/>
    <w:rsid w:val="003E1E8B"/>
    <w:rsid w:val="003E280A"/>
    <w:rsid w:val="003E2F86"/>
    <w:rsid w:val="003E3ADB"/>
    <w:rsid w:val="003E3F6E"/>
    <w:rsid w:val="003E4A7B"/>
    <w:rsid w:val="003E5047"/>
    <w:rsid w:val="003E52CE"/>
    <w:rsid w:val="003E5525"/>
    <w:rsid w:val="003E57A8"/>
    <w:rsid w:val="003E5C03"/>
    <w:rsid w:val="003E63EA"/>
    <w:rsid w:val="003E668B"/>
    <w:rsid w:val="003E6EBE"/>
    <w:rsid w:val="003E7B43"/>
    <w:rsid w:val="003F0004"/>
    <w:rsid w:val="003F0C79"/>
    <w:rsid w:val="003F0F6A"/>
    <w:rsid w:val="003F1052"/>
    <w:rsid w:val="003F1179"/>
    <w:rsid w:val="003F19E0"/>
    <w:rsid w:val="003F1C55"/>
    <w:rsid w:val="003F2225"/>
    <w:rsid w:val="003F2454"/>
    <w:rsid w:val="003F245D"/>
    <w:rsid w:val="003F254E"/>
    <w:rsid w:val="003F27EF"/>
    <w:rsid w:val="003F3A0F"/>
    <w:rsid w:val="003F44AF"/>
    <w:rsid w:val="003F4C17"/>
    <w:rsid w:val="003F593D"/>
    <w:rsid w:val="003F6036"/>
    <w:rsid w:val="003F63FA"/>
    <w:rsid w:val="003F656C"/>
    <w:rsid w:val="003F6993"/>
    <w:rsid w:val="003F69D5"/>
    <w:rsid w:val="003F6A25"/>
    <w:rsid w:val="003F6D3D"/>
    <w:rsid w:val="003F6D6E"/>
    <w:rsid w:val="003F6F27"/>
    <w:rsid w:val="003F7214"/>
    <w:rsid w:val="003F7BF4"/>
    <w:rsid w:val="003F7CFE"/>
    <w:rsid w:val="004002E9"/>
    <w:rsid w:val="004002F2"/>
    <w:rsid w:val="004008B8"/>
    <w:rsid w:val="00400A7E"/>
    <w:rsid w:val="004015CE"/>
    <w:rsid w:val="00402590"/>
    <w:rsid w:val="00402934"/>
    <w:rsid w:val="00403162"/>
    <w:rsid w:val="00403F43"/>
    <w:rsid w:val="0040514A"/>
    <w:rsid w:val="004057FB"/>
    <w:rsid w:val="0040592C"/>
    <w:rsid w:val="00405E6C"/>
    <w:rsid w:val="0040623A"/>
    <w:rsid w:val="004064B5"/>
    <w:rsid w:val="004067FE"/>
    <w:rsid w:val="0040690E"/>
    <w:rsid w:val="00407017"/>
    <w:rsid w:val="00407B0C"/>
    <w:rsid w:val="00407B2B"/>
    <w:rsid w:val="00411843"/>
    <w:rsid w:val="00411A08"/>
    <w:rsid w:val="00411D0C"/>
    <w:rsid w:val="004128C1"/>
    <w:rsid w:val="00412C84"/>
    <w:rsid w:val="00413058"/>
    <w:rsid w:val="00413085"/>
    <w:rsid w:val="004138A3"/>
    <w:rsid w:val="0041430C"/>
    <w:rsid w:val="00414CFC"/>
    <w:rsid w:val="00415155"/>
    <w:rsid w:val="00416268"/>
    <w:rsid w:val="0041657E"/>
    <w:rsid w:val="0041736B"/>
    <w:rsid w:val="00417795"/>
    <w:rsid w:val="00420FA4"/>
    <w:rsid w:val="004212B6"/>
    <w:rsid w:val="00421980"/>
    <w:rsid w:val="00421BED"/>
    <w:rsid w:val="00422349"/>
    <w:rsid w:val="00422976"/>
    <w:rsid w:val="00422C36"/>
    <w:rsid w:val="00422E55"/>
    <w:rsid w:val="00423320"/>
    <w:rsid w:val="00424423"/>
    <w:rsid w:val="004257FF"/>
    <w:rsid w:val="00425D51"/>
    <w:rsid w:val="00425DA1"/>
    <w:rsid w:val="00426FD6"/>
    <w:rsid w:val="00426FDE"/>
    <w:rsid w:val="004277BA"/>
    <w:rsid w:val="0043013D"/>
    <w:rsid w:val="00430D5B"/>
    <w:rsid w:val="0043127F"/>
    <w:rsid w:val="00431AE7"/>
    <w:rsid w:val="0043204B"/>
    <w:rsid w:val="00432390"/>
    <w:rsid w:val="00432761"/>
    <w:rsid w:val="004330E6"/>
    <w:rsid w:val="00433383"/>
    <w:rsid w:val="004334E7"/>
    <w:rsid w:val="00433A37"/>
    <w:rsid w:val="00433C1C"/>
    <w:rsid w:val="00433E82"/>
    <w:rsid w:val="00434165"/>
    <w:rsid w:val="00434A4A"/>
    <w:rsid w:val="004358A8"/>
    <w:rsid w:val="00435CBD"/>
    <w:rsid w:val="004366B7"/>
    <w:rsid w:val="00436A77"/>
    <w:rsid w:val="00436E74"/>
    <w:rsid w:val="00436F85"/>
    <w:rsid w:val="00437711"/>
    <w:rsid w:val="00437911"/>
    <w:rsid w:val="004403D1"/>
    <w:rsid w:val="004411A7"/>
    <w:rsid w:val="00441B17"/>
    <w:rsid w:val="004429D1"/>
    <w:rsid w:val="00442E0C"/>
    <w:rsid w:val="00442F41"/>
    <w:rsid w:val="00442FFD"/>
    <w:rsid w:val="004432DE"/>
    <w:rsid w:val="004442F5"/>
    <w:rsid w:val="0044444A"/>
    <w:rsid w:val="00444C98"/>
    <w:rsid w:val="004455D2"/>
    <w:rsid w:val="00446A02"/>
    <w:rsid w:val="00446EE7"/>
    <w:rsid w:val="00447023"/>
    <w:rsid w:val="00447414"/>
    <w:rsid w:val="00447E1B"/>
    <w:rsid w:val="00450A00"/>
    <w:rsid w:val="00450F39"/>
    <w:rsid w:val="0045138F"/>
    <w:rsid w:val="0045163E"/>
    <w:rsid w:val="00451992"/>
    <w:rsid w:val="00451B32"/>
    <w:rsid w:val="00451C92"/>
    <w:rsid w:val="00452405"/>
    <w:rsid w:val="0045274E"/>
    <w:rsid w:val="00452753"/>
    <w:rsid w:val="004528F8"/>
    <w:rsid w:val="0045421D"/>
    <w:rsid w:val="004546AF"/>
    <w:rsid w:val="0045507B"/>
    <w:rsid w:val="00455B27"/>
    <w:rsid w:val="00455BE0"/>
    <w:rsid w:val="00456524"/>
    <w:rsid w:val="004577C2"/>
    <w:rsid w:val="00457A0B"/>
    <w:rsid w:val="00460283"/>
    <w:rsid w:val="0046052A"/>
    <w:rsid w:val="00460954"/>
    <w:rsid w:val="00460955"/>
    <w:rsid w:val="004609C1"/>
    <w:rsid w:val="00461212"/>
    <w:rsid w:val="004613AE"/>
    <w:rsid w:val="0046146E"/>
    <w:rsid w:val="004617C8"/>
    <w:rsid w:val="00461BED"/>
    <w:rsid w:val="00461C5F"/>
    <w:rsid w:val="00461D09"/>
    <w:rsid w:val="00461E43"/>
    <w:rsid w:val="00462490"/>
    <w:rsid w:val="0046252E"/>
    <w:rsid w:val="004625CF"/>
    <w:rsid w:val="004629A7"/>
    <w:rsid w:val="00462FAC"/>
    <w:rsid w:val="00463104"/>
    <w:rsid w:val="004632E9"/>
    <w:rsid w:val="00463422"/>
    <w:rsid w:val="004635D6"/>
    <w:rsid w:val="00463665"/>
    <w:rsid w:val="004637D8"/>
    <w:rsid w:val="004638BF"/>
    <w:rsid w:val="00463E52"/>
    <w:rsid w:val="00464011"/>
    <w:rsid w:val="00464767"/>
    <w:rsid w:val="004648A5"/>
    <w:rsid w:val="00464B66"/>
    <w:rsid w:val="004652EE"/>
    <w:rsid w:val="0046566B"/>
    <w:rsid w:val="00466174"/>
    <w:rsid w:val="004665F7"/>
    <w:rsid w:val="0046675B"/>
    <w:rsid w:val="004668E6"/>
    <w:rsid w:val="00466BF3"/>
    <w:rsid w:val="00466CC3"/>
    <w:rsid w:val="00466EBE"/>
    <w:rsid w:val="00467070"/>
    <w:rsid w:val="00467841"/>
    <w:rsid w:val="004716D7"/>
    <w:rsid w:val="0047213D"/>
    <w:rsid w:val="004730F6"/>
    <w:rsid w:val="00473538"/>
    <w:rsid w:val="0047362B"/>
    <w:rsid w:val="00473B7B"/>
    <w:rsid w:val="00473F3C"/>
    <w:rsid w:val="004748B1"/>
    <w:rsid w:val="00476FF5"/>
    <w:rsid w:val="0047758E"/>
    <w:rsid w:val="004778F0"/>
    <w:rsid w:val="00477D81"/>
    <w:rsid w:val="00480055"/>
    <w:rsid w:val="00480208"/>
    <w:rsid w:val="004806A0"/>
    <w:rsid w:val="00480B40"/>
    <w:rsid w:val="0048121F"/>
    <w:rsid w:val="00481447"/>
    <w:rsid w:val="0048194B"/>
    <w:rsid w:val="00481B05"/>
    <w:rsid w:val="00482345"/>
    <w:rsid w:val="00483155"/>
    <w:rsid w:val="004833D5"/>
    <w:rsid w:val="004838F2"/>
    <w:rsid w:val="00483A0A"/>
    <w:rsid w:val="00483EDE"/>
    <w:rsid w:val="004844F1"/>
    <w:rsid w:val="00484B05"/>
    <w:rsid w:val="00484E29"/>
    <w:rsid w:val="00485925"/>
    <w:rsid w:val="00485D7D"/>
    <w:rsid w:val="0048672B"/>
    <w:rsid w:val="00487007"/>
    <w:rsid w:val="004870FD"/>
    <w:rsid w:val="00487121"/>
    <w:rsid w:val="00487138"/>
    <w:rsid w:val="00487721"/>
    <w:rsid w:val="004877DF"/>
    <w:rsid w:val="00487A5F"/>
    <w:rsid w:val="00487EC7"/>
    <w:rsid w:val="004906E4"/>
    <w:rsid w:val="004909A2"/>
    <w:rsid w:val="00491573"/>
    <w:rsid w:val="00493046"/>
    <w:rsid w:val="004935D9"/>
    <w:rsid w:val="0049387D"/>
    <w:rsid w:val="00493A60"/>
    <w:rsid w:val="0049433F"/>
    <w:rsid w:val="00494965"/>
    <w:rsid w:val="004965FB"/>
    <w:rsid w:val="0049671F"/>
    <w:rsid w:val="00496905"/>
    <w:rsid w:val="00496ECC"/>
    <w:rsid w:val="00497BE2"/>
    <w:rsid w:val="00497F39"/>
    <w:rsid w:val="004A070E"/>
    <w:rsid w:val="004A118E"/>
    <w:rsid w:val="004A1519"/>
    <w:rsid w:val="004A182A"/>
    <w:rsid w:val="004A21E5"/>
    <w:rsid w:val="004A350F"/>
    <w:rsid w:val="004A35BC"/>
    <w:rsid w:val="004A3A86"/>
    <w:rsid w:val="004A3F99"/>
    <w:rsid w:val="004A4385"/>
    <w:rsid w:val="004A4603"/>
    <w:rsid w:val="004A4A2C"/>
    <w:rsid w:val="004A567C"/>
    <w:rsid w:val="004A5AE4"/>
    <w:rsid w:val="004A5FEC"/>
    <w:rsid w:val="004A6192"/>
    <w:rsid w:val="004A6BA8"/>
    <w:rsid w:val="004A6DE6"/>
    <w:rsid w:val="004A6F5B"/>
    <w:rsid w:val="004A7404"/>
    <w:rsid w:val="004A7970"/>
    <w:rsid w:val="004A7BF4"/>
    <w:rsid w:val="004A7D1D"/>
    <w:rsid w:val="004B0A03"/>
    <w:rsid w:val="004B0BE0"/>
    <w:rsid w:val="004B0EF5"/>
    <w:rsid w:val="004B16B3"/>
    <w:rsid w:val="004B1BA6"/>
    <w:rsid w:val="004B1C0E"/>
    <w:rsid w:val="004B224F"/>
    <w:rsid w:val="004B24DB"/>
    <w:rsid w:val="004B27E0"/>
    <w:rsid w:val="004B2914"/>
    <w:rsid w:val="004B337B"/>
    <w:rsid w:val="004B33CA"/>
    <w:rsid w:val="004B34FD"/>
    <w:rsid w:val="004B37E8"/>
    <w:rsid w:val="004B3DA8"/>
    <w:rsid w:val="004B4112"/>
    <w:rsid w:val="004B4D91"/>
    <w:rsid w:val="004B4F72"/>
    <w:rsid w:val="004B5113"/>
    <w:rsid w:val="004B58AB"/>
    <w:rsid w:val="004B5BEF"/>
    <w:rsid w:val="004B5CB1"/>
    <w:rsid w:val="004C011A"/>
    <w:rsid w:val="004C0128"/>
    <w:rsid w:val="004C0853"/>
    <w:rsid w:val="004C0BED"/>
    <w:rsid w:val="004C1871"/>
    <w:rsid w:val="004C1B0D"/>
    <w:rsid w:val="004C1E09"/>
    <w:rsid w:val="004C1F24"/>
    <w:rsid w:val="004C215F"/>
    <w:rsid w:val="004C31C1"/>
    <w:rsid w:val="004C47CF"/>
    <w:rsid w:val="004C48F1"/>
    <w:rsid w:val="004C496C"/>
    <w:rsid w:val="004C4DBF"/>
    <w:rsid w:val="004C5150"/>
    <w:rsid w:val="004C5C5A"/>
    <w:rsid w:val="004C6237"/>
    <w:rsid w:val="004C62B6"/>
    <w:rsid w:val="004C7366"/>
    <w:rsid w:val="004C73DE"/>
    <w:rsid w:val="004C7611"/>
    <w:rsid w:val="004C7C7B"/>
    <w:rsid w:val="004D0B4D"/>
    <w:rsid w:val="004D18FA"/>
    <w:rsid w:val="004D1A65"/>
    <w:rsid w:val="004D1E77"/>
    <w:rsid w:val="004D227C"/>
    <w:rsid w:val="004D2349"/>
    <w:rsid w:val="004D268D"/>
    <w:rsid w:val="004D26EF"/>
    <w:rsid w:val="004D2C96"/>
    <w:rsid w:val="004D2D33"/>
    <w:rsid w:val="004D3F03"/>
    <w:rsid w:val="004D4086"/>
    <w:rsid w:val="004D4CE9"/>
    <w:rsid w:val="004D5BF2"/>
    <w:rsid w:val="004D61BE"/>
    <w:rsid w:val="004D6AD6"/>
    <w:rsid w:val="004D78B3"/>
    <w:rsid w:val="004E05A2"/>
    <w:rsid w:val="004E0B7F"/>
    <w:rsid w:val="004E15F9"/>
    <w:rsid w:val="004E1759"/>
    <w:rsid w:val="004E2253"/>
    <w:rsid w:val="004E23BE"/>
    <w:rsid w:val="004E2BE6"/>
    <w:rsid w:val="004E2EDE"/>
    <w:rsid w:val="004E322F"/>
    <w:rsid w:val="004E367C"/>
    <w:rsid w:val="004E3B50"/>
    <w:rsid w:val="004E3FD8"/>
    <w:rsid w:val="004E4487"/>
    <w:rsid w:val="004E44F8"/>
    <w:rsid w:val="004E4A28"/>
    <w:rsid w:val="004E4CBF"/>
    <w:rsid w:val="004E53A7"/>
    <w:rsid w:val="004E572B"/>
    <w:rsid w:val="004E5836"/>
    <w:rsid w:val="004E5F1B"/>
    <w:rsid w:val="004E6A62"/>
    <w:rsid w:val="004E6CC4"/>
    <w:rsid w:val="004E7DD9"/>
    <w:rsid w:val="004F016E"/>
    <w:rsid w:val="004F0991"/>
    <w:rsid w:val="004F1430"/>
    <w:rsid w:val="004F1F8F"/>
    <w:rsid w:val="004F20DB"/>
    <w:rsid w:val="004F26EF"/>
    <w:rsid w:val="004F2F31"/>
    <w:rsid w:val="004F2F91"/>
    <w:rsid w:val="004F3E25"/>
    <w:rsid w:val="004F403E"/>
    <w:rsid w:val="004F48CD"/>
    <w:rsid w:val="004F4B99"/>
    <w:rsid w:val="004F4B9D"/>
    <w:rsid w:val="004F4EC1"/>
    <w:rsid w:val="004F4F5B"/>
    <w:rsid w:val="004F53D6"/>
    <w:rsid w:val="004F564A"/>
    <w:rsid w:val="004F5675"/>
    <w:rsid w:val="004F5959"/>
    <w:rsid w:val="004F5B24"/>
    <w:rsid w:val="004F6CA6"/>
    <w:rsid w:val="004F6D73"/>
    <w:rsid w:val="0050023F"/>
    <w:rsid w:val="0050046B"/>
    <w:rsid w:val="0050076C"/>
    <w:rsid w:val="00500A38"/>
    <w:rsid w:val="00500B1F"/>
    <w:rsid w:val="00500DEE"/>
    <w:rsid w:val="00501129"/>
    <w:rsid w:val="0050188D"/>
    <w:rsid w:val="00501CA1"/>
    <w:rsid w:val="00502397"/>
    <w:rsid w:val="005028FA"/>
    <w:rsid w:val="0050312D"/>
    <w:rsid w:val="00503A9B"/>
    <w:rsid w:val="00503D3B"/>
    <w:rsid w:val="00503E5B"/>
    <w:rsid w:val="00504EC3"/>
    <w:rsid w:val="005053BF"/>
    <w:rsid w:val="005055ED"/>
    <w:rsid w:val="005058A2"/>
    <w:rsid w:val="0050600E"/>
    <w:rsid w:val="00506305"/>
    <w:rsid w:val="00506B11"/>
    <w:rsid w:val="00507210"/>
    <w:rsid w:val="005104E5"/>
    <w:rsid w:val="005108DC"/>
    <w:rsid w:val="00510B40"/>
    <w:rsid w:val="005119C5"/>
    <w:rsid w:val="00511A44"/>
    <w:rsid w:val="00511B84"/>
    <w:rsid w:val="0051257A"/>
    <w:rsid w:val="00513205"/>
    <w:rsid w:val="00513280"/>
    <w:rsid w:val="005132D2"/>
    <w:rsid w:val="005135FB"/>
    <w:rsid w:val="00514268"/>
    <w:rsid w:val="00514797"/>
    <w:rsid w:val="00514AFD"/>
    <w:rsid w:val="00514FFC"/>
    <w:rsid w:val="00515417"/>
    <w:rsid w:val="00515558"/>
    <w:rsid w:val="00515D05"/>
    <w:rsid w:val="0051671D"/>
    <w:rsid w:val="00516972"/>
    <w:rsid w:val="00516A68"/>
    <w:rsid w:val="00517334"/>
    <w:rsid w:val="005177EA"/>
    <w:rsid w:val="00517973"/>
    <w:rsid w:val="00520AD3"/>
    <w:rsid w:val="00521077"/>
    <w:rsid w:val="0052231D"/>
    <w:rsid w:val="00523517"/>
    <w:rsid w:val="00523DE1"/>
    <w:rsid w:val="00525C9F"/>
    <w:rsid w:val="00525D5B"/>
    <w:rsid w:val="00527135"/>
    <w:rsid w:val="0052756A"/>
    <w:rsid w:val="005279B9"/>
    <w:rsid w:val="00527A40"/>
    <w:rsid w:val="00530108"/>
    <w:rsid w:val="005303A1"/>
    <w:rsid w:val="00530AA1"/>
    <w:rsid w:val="00530EC7"/>
    <w:rsid w:val="00531000"/>
    <w:rsid w:val="005311E4"/>
    <w:rsid w:val="00531580"/>
    <w:rsid w:val="00531DD6"/>
    <w:rsid w:val="005323CC"/>
    <w:rsid w:val="00532407"/>
    <w:rsid w:val="00532925"/>
    <w:rsid w:val="00532EB6"/>
    <w:rsid w:val="00532FA4"/>
    <w:rsid w:val="0053399D"/>
    <w:rsid w:val="00533B0E"/>
    <w:rsid w:val="00533E9F"/>
    <w:rsid w:val="0053401A"/>
    <w:rsid w:val="00534100"/>
    <w:rsid w:val="00534D5E"/>
    <w:rsid w:val="005353BD"/>
    <w:rsid w:val="00535678"/>
    <w:rsid w:val="005358E6"/>
    <w:rsid w:val="00535F39"/>
    <w:rsid w:val="005360AC"/>
    <w:rsid w:val="00536351"/>
    <w:rsid w:val="00540B11"/>
    <w:rsid w:val="00540EB3"/>
    <w:rsid w:val="00540EDB"/>
    <w:rsid w:val="0054145D"/>
    <w:rsid w:val="0054154C"/>
    <w:rsid w:val="005415FC"/>
    <w:rsid w:val="00541BC7"/>
    <w:rsid w:val="00541CE1"/>
    <w:rsid w:val="00542C62"/>
    <w:rsid w:val="00542EDF"/>
    <w:rsid w:val="005439EA"/>
    <w:rsid w:val="00543B6A"/>
    <w:rsid w:val="00543BC3"/>
    <w:rsid w:val="0054575B"/>
    <w:rsid w:val="0054605D"/>
    <w:rsid w:val="00546378"/>
    <w:rsid w:val="005466B7"/>
    <w:rsid w:val="00546745"/>
    <w:rsid w:val="00546BDA"/>
    <w:rsid w:val="00550E48"/>
    <w:rsid w:val="00551803"/>
    <w:rsid w:val="005523A6"/>
    <w:rsid w:val="00552BE3"/>
    <w:rsid w:val="00554369"/>
    <w:rsid w:val="00554782"/>
    <w:rsid w:val="0055478E"/>
    <w:rsid w:val="00554C0F"/>
    <w:rsid w:val="00554E5E"/>
    <w:rsid w:val="00555108"/>
    <w:rsid w:val="005554D1"/>
    <w:rsid w:val="00555829"/>
    <w:rsid w:val="0055599D"/>
    <w:rsid w:val="00556682"/>
    <w:rsid w:val="00556F30"/>
    <w:rsid w:val="005574BA"/>
    <w:rsid w:val="0055785B"/>
    <w:rsid w:val="00557D40"/>
    <w:rsid w:val="0056003A"/>
    <w:rsid w:val="00560553"/>
    <w:rsid w:val="0056088A"/>
    <w:rsid w:val="00560AB3"/>
    <w:rsid w:val="00560B9F"/>
    <w:rsid w:val="00560D9B"/>
    <w:rsid w:val="00561511"/>
    <w:rsid w:val="005615DF"/>
    <w:rsid w:val="00561E9F"/>
    <w:rsid w:val="00562751"/>
    <w:rsid w:val="00562880"/>
    <w:rsid w:val="0056391A"/>
    <w:rsid w:val="00564375"/>
    <w:rsid w:val="00564A18"/>
    <w:rsid w:val="005662E7"/>
    <w:rsid w:val="00566535"/>
    <w:rsid w:val="005666FB"/>
    <w:rsid w:val="005668FB"/>
    <w:rsid w:val="00566EFD"/>
    <w:rsid w:val="00566F6C"/>
    <w:rsid w:val="005700AB"/>
    <w:rsid w:val="00570ABC"/>
    <w:rsid w:val="00570C4E"/>
    <w:rsid w:val="00571C48"/>
    <w:rsid w:val="00572744"/>
    <w:rsid w:val="005729FF"/>
    <w:rsid w:val="00573131"/>
    <w:rsid w:val="005749C7"/>
    <w:rsid w:val="00574D23"/>
    <w:rsid w:val="00574D82"/>
    <w:rsid w:val="00574E98"/>
    <w:rsid w:val="00574F0B"/>
    <w:rsid w:val="005757D1"/>
    <w:rsid w:val="00575932"/>
    <w:rsid w:val="0057601E"/>
    <w:rsid w:val="00576322"/>
    <w:rsid w:val="0057679E"/>
    <w:rsid w:val="00576948"/>
    <w:rsid w:val="00576C89"/>
    <w:rsid w:val="00576D56"/>
    <w:rsid w:val="0057741D"/>
    <w:rsid w:val="005774B8"/>
    <w:rsid w:val="00577FD0"/>
    <w:rsid w:val="00580C74"/>
    <w:rsid w:val="00580EDB"/>
    <w:rsid w:val="005810A1"/>
    <w:rsid w:val="00582C9A"/>
    <w:rsid w:val="00582E0F"/>
    <w:rsid w:val="00583F05"/>
    <w:rsid w:val="0058417A"/>
    <w:rsid w:val="00584364"/>
    <w:rsid w:val="005848CD"/>
    <w:rsid w:val="00584CD9"/>
    <w:rsid w:val="00584DB0"/>
    <w:rsid w:val="00585FBE"/>
    <w:rsid w:val="00586085"/>
    <w:rsid w:val="00586304"/>
    <w:rsid w:val="00586488"/>
    <w:rsid w:val="0058658C"/>
    <w:rsid w:val="005873C0"/>
    <w:rsid w:val="00590340"/>
    <w:rsid w:val="005906BC"/>
    <w:rsid w:val="0059107C"/>
    <w:rsid w:val="00591580"/>
    <w:rsid w:val="00591A0E"/>
    <w:rsid w:val="00592194"/>
    <w:rsid w:val="005927AD"/>
    <w:rsid w:val="005930F7"/>
    <w:rsid w:val="005939F7"/>
    <w:rsid w:val="00593B99"/>
    <w:rsid w:val="00594340"/>
    <w:rsid w:val="00594BB6"/>
    <w:rsid w:val="00594F10"/>
    <w:rsid w:val="005954A0"/>
    <w:rsid w:val="005956DB"/>
    <w:rsid w:val="0059596C"/>
    <w:rsid w:val="00595C0A"/>
    <w:rsid w:val="00595F46"/>
    <w:rsid w:val="0059609B"/>
    <w:rsid w:val="00596A9D"/>
    <w:rsid w:val="00596C8B"/>
    <w:rsid w:val="00596FB3"/>
    <w:rsid w:val="0059704D"/>
    <w:rsid w:val="00597181"/>
    <w:rsid w:val="00597579"/>
    <w:rsid w:val="0059771C"/>
    <w:rsid w:val="005A0474"/>
    <w:rsid w:val="005A0B58"/>
    <w:rsid w:val="005A0D36"/>
    <w:rsid w:val="005A0D89"/>
    <w:rsid w:val="005A1CB6"/>
    <w:rsid w:val="005A1EE9"/>
    <w:rsid w:val="005A24C4"/>
    <w:rsid w:val="005A2577"/>
    <w:rsid w:val="005A26F3"/>
    <w:rsid w:val="005A2FF2"/>
    <w:rsid w:val="005A39EC"/>
    <w:rsid w:val="005A523D"/>
    <w:rsid w:val="005A61A3"/>
    <w:rsid w:val="005A61E8"/>
    <w:rsid w:val="005A63F2"/>
    <w:rsid w:val="005A650D"/>
    <w:rsid w:val="005A71A8"/>
    <w:rsid w:val="005A73D9"/>
    <w:rsid w:val="005A755B"/>
    <w:rsid w:val="005A7C31"/>
    <w:rsid w:val="005B025A"/>
    <w:rsid w:val="005B09F4"/>
    <w:rsid w:val="005B1195"/>
    <w:rsid w:val="005B143C"/>
    <w:rsid w:val="005B16B6"/>
    <w:rsid w:val="005B1740"/>
    <w:rsid w:val="005B1797"/>
    <w:rsid w:val="005B19A8"/>
    <w:rsid w:val="005B1AA6"/>
    <w:rsid w:val="005B1C90"/>
    <w:rsid w:val="005B2214"/>
    <w:rsid w:val="005B2326"/>
    <w:rsid w:val="005B232E"/>
    <w:rsid w:val="005B2AFB"/>
    <w:rsid w:val="005B2B30"/>
    <w:rsid w:val="005B2F42"/>
    <w:rsid w:val="005B339B"/>
    <w:rsid w:val="005B3C0B"/>
    <w:rsid w:val="005B3F0F"/>
    <w:rsid w:val="005B471A"/>
    <w:rsid w:val="005B4E68"/>
    <w:rsid w:val="005B5617"/>
    <w:rsid w:val="005B5773"/>
    <w:rsid w:val="005B5E2B"/>
    <w:rsid w:val="005B5EA5"/>
    <w:rsid w:val="005B7BD8"/>
    <w:rsid w:val="005C0186"/>
    <w:rsid w:val="005C0376"/>
    <w:rsid w:val="005C0495"/>
    <w:rsid w:val="005C24B7"/>
    <w:rsid w:val="005C3769"/>
    <w:rsid w:val="005C48C1"/>
    <w:rsid w:val="005C525B"/>
    <w:rsid w:val="005C54A2"/>
    <w:rsid w:val="005C56B5"/>
    <w:rsid w:val="005C5AB2"/>
    <w:rsid w:val="005C5EAA"/>
    <w:rsid w:val="005C629E"/>
    <w:rsid w:val="005C6931"/>
    <w:rsid w:val="005C6994"/>
    <w:rsid w:val="005C6A69"/>
    <w:rsid w:val="005C6A96"/>
    <w:rsid w:val="005C6AFA"/>
    <w:rsid w:val="005C6B30"/>
    <w:rsid w:val="005C6DC4"/>
    <w:rsid w:val="005C7996"/>
    <w:rsid w:val="005D03B0"/>
    <w:rsid w:val="005D09A1"/>
    <w:rsid w:val="005D1B01"/>
    <w:rsid w:val="005D2341"/>
    <w:rsid w:val="005D2546"/>
    <w:rsid w:val="005D2851"/>
    <w:rsid w:val="005D2D7D"/>
    <w:rsid w:val="005D3D3C"/>
    <w:rsid w:val="005D3F82"/>
    <w:rsid w:val="005D4315"/>
    <w:rsid w:val="005D44E0"/>
    <w:rsid w:val="005D4A1A"/>
    <w:rsid w:val="005D52ED"/>
    <w:rsid w:val="005D5C13"/>
    <w:rsid w:val="005D6945"/>
    <w:rsid w:val="005D7549"/>
    <w:rsid w:val="005D765C"/>
    <w:rsid w:val="005E0E20"/>
    <w:rsid w:val="005E154F"/>
    <w:rsid w:val="005E155A"/>
    <w:rsid w:val="005E1FA9"/>
    <w:rsid w:val="005E21F3"/>
    <w:rsid w:val="005E24B3"/>
    <w:rsid w:val="005E261D"/>
    <w:rsid w:val="005E2DEE"/>
    <w:rsid w:val="005E34C1"/>
    <w:rsid w:val="005E3AC1"/>
    <w:rsid w:val="005E3FFE"/>
    <w:rsid w:val="005E43E2"/>
    <w:rsid w:val="005E51C7"/>
    <w:rsid w:val="005E5281"/>
    <w:rsid w:val="005E55DE"/>
    <w:rsid w:val="005E5797"/>
    <w:rsid w:val="005E5C7B"/>
    <w:rsid w:val="005E6197"/>
    <w:rsid w:val="005E68B4"/>
    <w:rsid w:val="005E69F2"/>
    <w:rsid w:val="005E6DF5"/>
    <w:rsid w:val="005E7782"/>
    <w:rsid w:val="005E79A7"/>
    <w:rsid w:val="005E7C92"/>
    <w:rsid w:val="005F0189"/>
    <w:rsid w:val="005F048D"/>
    <w:rsid w:val="005F05F1"/>
    <w:rsid w:val="005F0756"/>
    <w:rsid w:val="005F0DBD"/>
    <w:rsid w:val="005F1171"/>
    <w:rsid w:val="005F1C73"/>
    <w:rsid w:val="005F1D1F"/>
    <w:rsid w:val="005F207C"/>
    <w:rsid w:val="005F2439"/>
    <w:rsid w:val="005F24C0"/>
    <w:rsid w:val="005F3A23"/>
    <w:rsid w:val="005F3F87"/>
    <w:rsid w:val="005F412E"/>
    <w:rsid w:val="005F4240"/>
    <w:rsid w:val="005F4D47"/>
    <w:rsid w:val="005F600C"/>
    <w:rsid w:val="005F6117"/>
    <w:rsid w:val="005F650A"/>
    <w:rsid w:val="005F6BF6"/>
    <w:rsid w:val="0060090F"/>
    <w:rsid w:val="00601132"/>
    <w:rsid w:val="0060153E"/>
    <w:rsid w:val="0060167E"/>
    <w:rsid w:val="00601BB8"/>
    <w:rsid w:val="00601D91"/>
    <w:rsid w:val="00604930"/>
    <w:rsid w:val="00604B2C"/>
    <w:rsid w:val="00605432"/>
    <w:rsid w:val="00605B62"/>
    <w:rsid w:val="00606946"/>
    <w:rsid w:val="00607B48"/>
    <w:rsid w:val="00607EBE"/>
    <w:rsid w:val="006106EB"/>
    <w:rsid w:val="006109ED"/>
    <w:rsid w:val="00610AE0"/>
    <w:rsid w:val="00610CE0"/>
    <w:rsid w:val="00611040"/>
    <w:rsid w:val="00611213"/>
    <w:rsid w:val="006112B9"/>
    <w:rsid w:val="00611582"/>
    <w:rsid w:val="00612ADC"/>
    <w:rsid w:val="006133F2"/>
    <w:rsid w:val="00613480"/>
    <w:rsid w:val="00613A12"/>
    <w:rsid w:val="0061417C"/>
    <w:rsid w:val="006143B5"/>
    <w:rsid w:val="00614687"/>
    <w:rsid w:val="0061595D"/>
    <w:rsid w:val="00616A96"/>
    <w:rsid w:val="00616B29"/>
    <w:rsid w:val="00616BCE"/>
    <w:rsid w:val="00617CE9"/>
    <w:rsid w:val="0062068F"/>
    <w:rsid w:val="00620976"/>
    <w:rsid w:val="006209C6"/>
    <w:rsid w:val="006212DE"/>
    <w:rsid w:val="00621436"/>
    <w:rsid w:val="006218BF"/>
    <w:rsid w:val="0062310A"/>
    <w:rsid w:val="00623330"/>
    <w:rsid w:val="00623340"/>
    <w:rsid w:val="006234FF"/>
    <w:rsid w:val="00624481"/>
    <w:rsid w:val="00624CD2"/>
    <w:rsid w:val="006260C2"/>
    <w:rsid w:val="006264ED"/>
    <w:rsid w:val="006268F7"/>
    <w:rsid w:val="00626AAD"/>
    <w:rsid w:val="00626B9D"/>
    <w:rsid w:val="006270C8"/>
    <w:rsid w:val="0062767A"/>
    <w:rsid w:val="0062793B"/>
    <w:rsid w:val="006279FD"/>
    <w:rsid w:val="0063009A"/>
    <w:rsid w:val="00630A04"/>
    <w:rsid w:val="006313BB"/>
    <w:rsid w:val="006316A6"/>
    <w:rsid w:val="00631F67"/>
    <w:rsid w:val="00632060"/>
    <w:rsid w:val="00632460"/>
    <w:rsid w:val="0063247B"/>
    <w:rsid w:val="0063289C"/>
    <w:rsid w:val="006328A2"/>
    <w:rsid w:val="00634477"/>
    <w:rsid w:val="00634F78"/>
    <w:rsid w:val="00635005"/>
    <w:rsid w:val="00635055"/>
    <w:rsid w:val="006350ED"/>
    <w:rsid w:val="00635525"/>
    <w:rsid w:val="0063552D"/>
    <w:rsid w:val="00635ECD"/>
    <w:rsid w:val="006365BB"/>
    <w:rsid w:val="0063698C"/>
    <w:rsid w:val="00636B87"/>
    <w:rsid w:val="00636F35"/>
    <w:rsid w:val="00636FBA"/>
    <w:rsid w:val="006373A1"/>
    <w:rsid w:val="00637CC1"/>
    <w:rsid w:val="00637D4C"/>
    <w:rsid w:val="00640282"/>
    <w:rsid w:val="006402C9"/>
    <w:rsid w:val="00640741"/>
    <w:rsid w:val="00640BA0"/>
    <w:rsid w:val="006412CF"/>
    <w:rsid w:val="00641B36"/>
    <w:rsid w:val="00641CA1"/>
    <w:rsid w:val="00642363"/>
    <w:rsid w:val="00642511"/>
    <w:rsid w:val="00642938"/>
    <w:rsid w:val="0064408B"/>
    <w:rsid w:val="00644673"/>
    <w:rsid w:val="006446B8"/>
    <w:rsid w:val="006446F2"/>
    <w:rsid w:val="006452F3"/>
    <w:rsid w:val="0064578E"/>
    <w:rsid w:val="0064612B"/>
    <w:rsid w:val="00646521"/>
    <w:rsid w:val="00646FCA"/>
    <w:rsid w:val="006474D1"/>
    <w:rsid w:val="0064753D"/>
    <w:rsid w:val="00647777"/>
    <w:rsid w:val="00647ECB"/>
    <w:rsid w:val="00650923"/>
    <w:rsid w:val="00650982"/>
    <w:rsid w:val="00650E15"/>
    <w:rsid w:val="00651198"/>
    <w:rsid w:val="006512BA"/>
    <w:rsid w:val="006516D8"/>
    <w:rsid w:val="00651E70"/>
    <w:rsid w:val="00651EAD"/>
    <w:rsid w:val="0065210C"/>
    <w:rsid w:val="006521B7"/>
    <w:rsid w:val="00652647"/>
    <w:rsid w:val="00652920"/>
    <w:rsid w:val="00654794"/>
    <w:rsid w:val="00654BB5"/>
    <w:rsid w:val="00654CE8"/>
    <w:rsid w:val="00655702"/>
    <w:rsid w:val="0065604C"/>
    <w:rsid w:val="006569DE"/>
    <w:rsid w:val="00657251"/>
    <w:rsid w:val="00657BD7"/>
    <w:rsid w:val="00660505"/>
    <w:rsid w:val="00660794"/>
    <w:rsid w:val="006607C2"/>
    <w:rsid w:val="00660C40"/>
    <w:rsid w:val="00660D7C"/>
    <w:rsid w:val="00660E01"/>
    <w:rsid w:val="00660E8D"/>
    <w:rsid w:val="00661078"/>
    <w:rsid w:val="0066118C"/>
    <w:rsid w:val="0066126E"/>
    <w:rsid w:val="00661B26"/>
    <w:rsid w:val="00661C6B"/>
    <w:rsid w:val="006621A7"/>
    <w:rsid w:val="00662A9F"/>
    <w:rsid w:val="0066328A"/>
    <w:rsid w:val="00664275"/>
    <w:rsid w:val="006645A2"/>
    <w:rsid w:val="0066544B"/>
    <w:rsid w:val="006654B9"/>
    <w:rsid w:val="00665B95"/>
    <w:rsid w:val="00666213"/>
    <w:rsid w:val="00666464"/>
    <w:rsid w:val="006665E3"/>
    <w:rsid w:val="00666DF9"/>
    <w:rsid w:val="00667034"/>
    <w:rsid w:val="00667244"/>
    <w:rsid w:val="0066772F"/>
    <w:rsid w:val="00667F01"/>
    <w:rsid w:val="00670075"/>
    <w:rsid w:val="00670411"/>
    <w:rsid w:val="006707CB"/>
    <w:rsid w:val="00670B2A"/>
    <w:rsid w:val="00670C68"/>
    <w:rsid w:val="006710CB"/>
    <w:rsid w:val="006712A2"/>
    <w:rsid w:val="00671676"/>
    <w:rsid w:val="006719C7"/>
    <w:rsid w:val="0067254F"/>
    <w:rsid w:val="0067323A"/>
    <w:rsid w:val="00673335"/>
    <w:rsid w:val="00673410"/>
    <w:rsid w:val="00673642"/>
    <w:rsid w:val="00673F26"/>
    <w:rsid w:val="00674695"/>
    <w:rsid w:val="00674E1F"/>
    <w:rsid w:val="0067556C"/>
    <w:rsid w:val="00675C20"/>
    <w:rsid w:val="006761A5"/>
    <w:rsid w:val="006763CF"/>
    <w:rsid w:val="006765FC"/>
    <w:rsid w:val="00676880"/>
    <w:rsid w:val="00677E76"/>
    <w:rsid w:val="0068038F"/>
    <w:rsid w:val="006817DD"/>
    <w:rsid w:val="006819F4"/>
    <w:rsid w:val="00682270"/>
    <w:rsid w:val="006825F4"/>
    <w:rsid w:val="006826AD"/>
    <w:rsid w:val="00682853"/>
    <w:rsid w:val="0068355B"/>
    <w:rsid w:val="0068411C"/>
    <w:rsid w:val="00684175"/>
    <w:rsid w:val="00685745"/>
    <w:rsid w:val="006858FA"/>
    <w:rsid w:val="00685E5A"/>
    <w:rsid w:val="00685FBB"/>
    <w:rsid w:val="006862C3"/>
    <w:rsid w:val="00686D9C"/>
    <w:rsid w:val="00690408"/>
    <w:rsid w:val="00690E37"/>
    <w:rsid w:val="00691A24"/>
    <w:rsid w:val="00691A85"/>
    <w:rsid w:val="006921F7"/>
    <w:rsid w:val="00692648"/>
    <w:rsid w:val="00692724"/>
    <w:rsid w:val="00692809"/>
    <w:rsid w:val="00692AD2"/>
    <w:rsid w:val="00692C90"/>
    <w:rsid w:val="00692D0C"/>
    <w:rsid w:val="00693374"/>
    <w:rsid w:val="0069356D"/>
    <w:rsid w:val="00694033"/>
    <w:rsid w:val="006941F4"/>
    <w:rsid w:val="006944F8"/>
    <w:rsid w:val="00694788"/>
    <w:rsid w:val="0069491E"/>
    <w:rsid w:val="00694C0B"/>
    <w:rsid w:val="00695023"/>
    <w:rsid w:val="00695F45"/>
    <w:rsid w:val="0069638A"/>
    <w:rsid w:val="00696976"/>
    <w:rsid w:val="006969E9"/>
    <w:rsid w:val="00696AFB"/>
    <w:rsid w:val="00697750"/>
    <w:rsid w:val="006977AC"/>
    <w:rsid w:val="006A004C"/>
    <w:rsid w:val="006A0615"/>
    <w:rsid w:val="006A13FC"/>
    <w:rsid w:val="006A1AC7"/>
    <w:rsid w:val="006A22CB"/>
    <w:rsid w:val="006A25E0"/>
    <w:rsid w:val="006A3903"/>
    <w:rsid w:val="006A3B61"/>
    <w:rsid w:val="006A3EDF"/>
    <w:rsid w:val="006A42B1"/>
    <w:rsid w:val="006A46F5"/>
    <w:rsid w:val="006A4C0B"/>
    <w:rsid w:val="006A4C9F"/>
    <w:rsid w:val="006A4D08"/>
    <w:rsid w:val="006A5A58"/>
    <w:rsid w:val="006A5DA1"/>
    <w:rsid w:val="006A662A"/>
    <w:rsid w:val="006A67DF"/>
    <w:rsid w:val="006A69FA"/>
    <w:rsid w:val="006A6C94"/>
    <w:rsid w:val="006A6DC4"/>
    <w:rsid w:val="006A7613"/>
    <w:rsid w:val="006A7E03"/>
    <w:rsid w:val="006B06E0"/>
    <w:rsid w:val="006B0D90"/>
    <w:rsid w:val="006B1155"/>
    <w:rsid w:val="006B1884"/>
    <w:rsid w:val="006B1963"/>
    <w:rsid w:val="006B1CDC"/>
    <w:rsid w:val="006B1CF7"/>
    <w:rsid w:val="006B1FB2"/>
    <w:rsid w:val="006B2AFD"/>
    <w:rsid w:val="006B30BA"/>
    <w:rsid w:val="006B34BA"/>
    <w:rsid w:val="006B3845"/>
    <w:rsid w:val="006B39FC"/>
    <w:rsid w:val="006B4486"/>
    <w:rsid w:val="006B4BF9"/>
    <w:rsid w:val="006B4D22"/>
    <w:rsid w:val="006B4F2B"/>
    <w:rsid w:val="006B4F8F"/>
    <w:rsid w:val="006B52A0"/>
    <w:rsid w:val="006B53B2"/>
    <w:rsid w:val="006B5815"/>
    <w:rsid w:val="006B64A7"/>
    <w:rsid w:val="006B6AEC"/>
    <w:rsid w:val="006B6B19"/>
    <w:rsid w:val="006B7069"/>
    <w:rsid w:val="006B71E0"/>
    <w:rsid w:val="006B73A2"/>
    <w:rsid w:val="006C0022"/>
    <w:rsid w:val="006C05A4"/>
    <w:rsid w:val="006C1661"/>
    <w:rsid w:val="006C1A6A"/>
    <w:rsid w:val="006C2035"/>
    <w:rsid w:val="006C20AA"/>
    <w:rsid w:val="006C2288"/>
    <w:rsid w:val="006C252D"/>
    <w:rsid w:val="006C3380"/>
    <w:rsid w:val="006C398F"/>
    <w:rsid w:val="006C39C1"/>
    <w:rsid w:val="006C3B21"/>
    <w:rsid w:val="006C408F"/>
    <w:rsid w:val="006C5470"/>
    <w:rsid w:val="006C5676"/>
    <w:rsid w:val="006C5E8F"/>
    <w:rsid w:val="006C5EAF"/>
    <w:rsid w:val="006C611E"/>
    <w:rsid w:val="006C638D"/>
    <w:rsid w:val="006C6B40"/>
    <w:rsid w:val="006C7088"/>
    <w:rsid w:val="006D04F7"/>
    <w:rsid w:val="006D0885"/>
    <w:rsid w:val="006D1700"/>
    <w:rsid w:val="006D1AB4"/>
    <w:rsid w:val="006D1F84"/>
    <w:rsid w:val="006D2443"/>
    <w:rsid w:val="006D251C"/>
    <w:rsid w:val="006D2A6F"/>
    <w:rsid w:val="006D2BF1"/>
    <w:rsid w:val="006D2E5C"/>
    <w:rsid w:val="006D32AE"/>
    <w:rsid w:val="006D3F2B"/>
    <w:rsid w:val="006D41C9"/>
    <w:rsid w:val="006D4703"/>
    <w:rsid w:val="006D4992"/>
    <w:rsid w:val="006D5B90"/>
    <w:rsid w:val="006D6333"/>
    <w:rsid w:val="006D692C"/>
    <w:rsid w:val="006E0100"/>
    <w:rsid w:val="006E285B"/>
    <w:rsid w:val="006E2929"/>
    <w:rsid w:val="006E2BA4"/>
    <w:rsid w:val="006E2D18"/>
    <w:rsid w:val="006E2F52"/>
    <w:rsid w:val="006E32AF"/>
    <w:rsid w:val="006E3A8C"/>
    <w:rsid w:val="006E44DA"/>
    <w:rsid w:val="006E50A9"/>
    <w:rsid w:val="006E5E04"/>
    <w:rsid w:val="006E5ECA"/>
    <w:rsid w:val="006E6553"/>
    <w:rsid w:val="006E7103"/>
    <w:rsid w:val="006F0461"/>
    <w:rsid w:val="006F111A"/>
    <w:rsid w:val="006F1405"/>
    <w:rsid w:val="006F1BB1"/>
    <w:rsid w:val="006F1D93"/>
    <w:rsid w:val="006F3182"/>
    <w:rsid w:val="006F38AE"/>
    <w:rsid w:val="006F3B9B"/>
    <w:rsid w:val="006F464B"/>
    <w:rsid w:val="006F5DDA"/>
    <w:rsid w:val="006F5ED8"/>
    <w:rsid w:val="006F6116"/>
    <w:rsid w:val="006F618B"/>
    <w:rsid w:val="006F6253"/>
    <w:rsid w:val="006F66FB"/>
    <w:rsid w:val="006F67D6"/>
    <w:rsid w:val="006F6B99"/>
    <w:rsid w:val="006F717F"/>
    <w:rsid w:val="006F7957"/>
    <w:rsid w:val="006F7EB7"/>
    <w:rsid w:val="0070122B"/>
    <w:rsid w:val="00701639"/>
    <w:rsid w:val="007028AE"/>
    <w:rsid w:val="007028C1"/>
    <w:rsid w:val="00702CCF"/>
    <w:rsid w:val="00703FA9"/>
    <w:rsid w:val="0070438C"/>
    <w:rsid w:val="00704D9B"/>
    <w:rsid w:val="00705482"/>
    <w:rsid w:val="007056E2"/>
    <w:rsid w:val="00705940"/>
    <w:rsid w:val="00705FC6"/>
    <w:rsid w:val="007069A4"/>
    <w:rsid w:val="00706CD5"/>
    <w:rsid w:val="00707A38"/>
    <w:rsid w:val="00707C71"/>
    <w:rsid w:val="00707CFA"/>
    <w:rsid w:val="00707E2C"/>
    <w:rsid w:val="00707EC3"/>
    <w:rsid w:val="00707F46"/>
    <w:rsid w:val="007100D9"/>
    <w:rsid w:val="00710CE3"/>
    <w:rsid w:val="00711027"/>
    <w:rsid w:val="007111C2"/>
    <w:rsid w:val="007118AD"/>
    <w:rsid w:val="007121A7"/>
    <w:rsid w:val="0071270A"/>
    <w:rsid w:val="00713201"/>
    <w:rsid w:val="007138C2"/>
    <w:rsid w:val="00714228"/>
    <w:rsid w:val="0071633C"/>
    <w:rsid w:val="007166F4"/>
    <w:rsid w:val="007170C3"/>
    <w:rsid w:val="0071771F"/>
    <w:rsid w:val="00717C6C"/>
    <w:rsid w:val="00717DBE"/>
    <w:rsid w:val="00720208"/>
    <w:rsid w:val="00722070"/>
    <w:rsid w:val="007220D6"/>
    <w:rsid w:val="00722ACD"/>
    <w:rsid w:val="00722E3F"/>
    <w:rsid w:val="0072300C"/>
    <w:rsid w:val="0072319E"/>
    <w:rsid w:val="0072326E"/>
    <w:rsid w:val="00723724"/>
    <w:rsid w:val="007238D2"/>
    <w:rsid w:val="00723E97"/>
    <w:rsid w:val="00723F0E"/>
    <w:rsid w:val="00724851"/>
    <w:rsid w:val="00725645"/>
    <w:rsid w:val="00725800"/>
    <w:rsid w:val="00725D84"/>
    <w:rsid w:val="007269C7"/>
    <w:rsid w:val="007269D2"/>
    <w:rsid w:val="00727B3D"/>
    <w:rsid w:val="007312CF"/>
    <w:rsid w:val="007317DA"/>
    <w:rsid w:val="007319B4"/>
    <w:rsid w:val="00731DF6"/>
    <w:rsid w:val="00731EBD"/>
    <w:rsid w:val="007323A8"/>
    <w:rsid w:val="007325BA"/>
    <w:rsid w:val="0073271C"/>
    <w:rsid w:val="00732F6F"/>
    <w:rsid w:val="007332FC"/>
    <w:rsid w:val="007334F6"/>
    <w:rsid w:val="007337D7"/>
    <w:rsid w:val="00733A49"/>
    <w:rsid w:val="00733A5A"/>
    <w:rsid w:val="00733EF8"/>
    <w:rsid w:val="00734A72"/>
    <w:rsid w:val="007357CE"/>
    <w:rsid w:val="00735B9F"/>
    <w:rsid w:val="00736C63"/>
    <w:rsid w:val="00736D66"/>
    <w:rsid w:val="00737488"/>
    <w:rsid w:val="007376A6"/>
    <w:rsid w:val="00737C5E"/>
    <w:rsid w:val="007400E4"/>
    <w:rsid w:val="0074036B"/>
    <w:rsid w:val="00741051"/>
    <w:rsid w:val="00741113"/>
    <w:rsid w:val="0074127A"/>
    <w:rsid w:val="007417F2"/>
    <w:rsid w:val="00741D1C"/>
    <w:rsid w:val="00741DC6"/>
    <w:rsid w:val="007421D1"/>
    <w:rsid w:val="007422DC"/>
    <w:rsid w:val="00742366"/>
    <w:rsid w:val="007423EA"/>
    <w:rsid w:val="00742505"/>
    <w:rsid w:val="0074427F"/>
    <w:rsid w:val="0074455D"/>
    <w:rsid w:val="00744859"/>
    <w:rsid w:val="00744FAD"/>
    <w:rsid w:val="00745AB7"/>
    <w:rsid w:val="00745B59"/>
    <w:rsid w:val="00745ED9"/>
    <w:rsid w:val="00746090"/>
    <w:rsid w:val="007470FF"/>
    <w:rsid w:val="00747DD2"/>
    <w:rsid w:val="0075022B"/>
    <w:rsid w:val="0075022F"/>
    <w:rsid w:val="0075043A"/>
    <w:rsid w:val="0075134B"/>
    <w:rsid w:val="0075135C"/>
    <w:rsid w:val="007514AA"/>
    <w:rsid w:val="00751D0C"/>
    <w:rsid w:val="00751D44"/>
    <w:rsid w:val="00752726"/>
    <w:rsid w:val="00753026"/>
    <w:rsid w:val="007534CD"/>
    <w:rsid w:val="00753524"/>
    <w:rsid w:val="0075378F"/>
    <w:rsid w:val="00753974"/>
    <w:rsid w:val="00753B34"/>
    <w:rsid w:val="00753C4F"/>
    <w:rsid w:val="00754110"/>
    <w:rsid w:val="007548D7"/>
    <w:rsid w:val="00755347"/>
    <w:rsid w:val="007555E8"/>
    <w:rsid w:val="00757263"/>
    <w:rsid w:val="0075731C"/>
    <w:rsid w:val="007603DD"/>
    <w:rsid w:val="00760593"/>
    <w:rsid w:val="00760A73"/>
    <w:rsid w:val="00760C4B"/>
    <w:rsid w:val="00761225"/>
    <w:rsid w:val="00761707"/>
    <w:rsid w:val="00761841"/>
    <w:rsid w:val="00761951"/>
    <w:rsid w:val="00761B46"/>
    <w:rsid w:val="00761C45"/>
    <w:rsid w:val="00761CD9"/>
    <w:rsid w:val="0076309D"/>
    <w:rsid w:val="00763118"/>
    <w:rsid w:val="00763601"/>
    <w:rsid w:val="007638C7"/>
    <w:rsid w:val="0076393D"/>
    <w:rsid w:val="00763B96"/>
    <w:rsid w:val="00764453"/>
    <w:rsid w:val="00764558"/>
    <w:rsid w:val="00764CDA"/>
    <w:rsid w:val="00765B1B"/>
    <w:rsid w:val="00766475"/>
    <w:rsid w:val="007664E7"/>
    <w:rsid w:val="00766B33"/>
    <w:rsid w:val="00766CA0"/>
    <w:rsid w:val="00767332"/>
    <w:rsid w:val="00767440"/>
    <w:rsid w:val="00767677"/>
    <w:rsid w:val="00767959"/>
    <w:rsid w:val="00770436"/>
    <w:rsid w:val="00770CDC"/>
    <w:rsid w:val="00770FB7"/>
    <w:rsid w:val="00771711"/>
    <w:rsid w:val="00771CFC"/>
    <w:rsid w:val="00771DC6"/>
    <w:rsid w:val="007726EA"/>
    <w:rsid w:val="007728F4"/>
    <w:rsid w:val="00772973"/>
    <w:rsid w:val="00772A9F"/>
    <w:rsid w:val="00772F7B"/>
    <w:rsid w:val="0077301D"/>
    <w:rsid w:val="007731F8"/>
    <w:rsid w:val="007733A4"/>
    <w:rsid w:val="00773582"/>
    <w:rsid w:val="0077399D"/>
    <w:rsid w:val="0077401B"/>
    <w:rsid w:val="007741B3"/>
    <w:rsid w:val="007744CF"/>
    <w:rsid w:val="007758C5"/>
    <w:rsid w:val="0077634F"/>
    <w:rsid w:val="007768AB"/>
    <w:rsid w:val="00776C0A"/>
    <w:rsid w:val="007773DA"/>
    <w:rsid w:val="00777C8C"/>
    <w:rsid w:val="00777CD7"/>
    <w:rsid w:val="007801BC"/>
    <w:rsid w:val="007802F5"/>
    <w:rsid w:val="007807E9"/>
    <w:rsid w:val="00780807"/>
    <w:rsid w:val="00780963"/>
    <w:rsid w:val="0078098C"/>
    <w:rsid w:val="00780E53"/>
    <w:rsid w:val="00780EBF"/>
    <w:rsid w:val="00781232"/>
    <w:rsid w:val="00781D65"/>
    <w:rsid w:val="00781F6C"/>
    <w:rsid w:val="00781FEB"/>
    <w:rsid w:val="0078249F"/>
    <w:rsid w:val="007836B9"/>
    <w:rsid w:val="00783810"/>
    <w:rsid w:val="00783AEA"/>
    <w:rsid w:val="00784735"/>
    <w:rsid w:val="00785CD4"/>
    <w:rsid w:val="00785F8F"/>
    <w:rsid w:val="00786D50"/>
    <w:rsid w:val="00787694"/>
    <w:rsid w:val="007876A8"/>
    <w:rsid w:val="00790334"/>
    <w:rsid w:val="00791EC6"/>
    <w:rsid w:val="00791F3F"/>
    <w:rsid w:val="0079246C"/>
    <w:rsid w:val="00792A0B"/>
    <w:rsid w:val="00792B08"/>
    <w:rsid w:val="007935B8"/>
    <w:rsid w:val="00793752"/>
    <w:rsid w:val="00793932"/>
    <w:rsid w:val="00793D17"/>
    <w:rsid w:val="007945A4"/>
    <w:rsid w:val="00795123"/>
    <w:rsid w:val="007952CE"/>
    <w:rsid w:val="00796372"/>
    <w:rsid w:val="00796DDE"/>
    <w:rsid w:val="007978FE"/>
    <w:rsid w:val="00797E59"/>
    <w:rsid w:val="007A0493"/>
    <w:rsid w:val="007A1AED"/>
    <w:rsid w:val="007A294A"/>
    <w:rsid w:val="007A362D"/>
    <w:rsid w:val="007A3B0A"/>
    <w:rsid w:val="007A3B1E"/>
    <w:rsid w:val="007A4230"/>
    <w:rsid w:val="007A437A"/>
    <w:rsid w:val="007A4EAB"/>
    <w:rsid w:val="007A51B2"/>
    <w:rsid w:val="007A52A2"/>
    <w:rsid w:val="007A66B6"/>
    <w:rsid w:val="007A6BCB"/>
    <w:rsid w:val="007A7319"/>
    <w:rsid w:val="007A799C"/>
    <w:rsid w:val="007A7D1B"/>
    <w:rsid w:val="007A7E2B"/>
    <w:rsid w:val="007B045C"/>
    <w:rsid w:val="007B09E8"/>
    <w:rsid w:val="007B1910"/>
    <w:rsid w:val="007B25E4"/>
    <w:rsid w:val="007B27EC"/>
    <w:rsid w:val="007B2C9A"/>
    <w:rsid w:val="007B325F"/>
    <w:rsid w:val="007B38F1"/>
    <w:rsid w:val="007B640E"/>
    <w:rsid w:val="007B65EA"/>
    <w:rsid w:val="007B7319"/>
    <w:rsid w:val="007B7AF0"/>
    <w:rsid w:val="007B7CCE"/>
    <w:rsid w:val="007B7FB2"/>
    <w:rsid w:val="007C008E"/>
    <w:rsid w:val="007C03D7"/>
    <w:rsid w:val="007C0B34"/>
    <w:rsid w:val="007C0F87"/>
    <w:rsid w:val="007C176B"/>
    <w:rsid w:val="007C18A2"/>
    <w:rsid w:val="007C19DE"/>
    <w:rsid w:val="007C28A8"/>
    <w:rsid w:val="007C34D9"/>
    <w:rsid w:val="007C3819"/>
    <w:rsid w:val="007C382C"/>
    <w:rsid w:val="007C4338"/>
    <w:rsid w:val="007C45AE"/>
    <w:rsid w:val="007C4A6E"/>
    <w:rsid w:val="007C6641"/>
    <w:rsid w:val="007C6D28"/>
    <w:rsid w:val="007C70FE"/>
    <w:rsid w:val="007C78AF"/>
    <w:rsid w:val="007C79CD"/>
    <w:rsid w:val="007C7B7E"/>
    <w:rsid w:val="007C7D8B"/>
    <w:rsid w:val="007D07E1"/>
    <w:rsid w:val="007D08F8"/>
    <w:rsid w:val="007D0F8A"/>
    <w:rsid w:val="007D1746"/>
    <w:rsid w:val="007D1E4A"/>
    <w:rsid w:val="007D25CE"/>
    <w:rsid w:val="007D261E"/>
    <w:rsid w:val="007D2C93"/>
    <w:rsid w:val="007D3586"/>
    <w:rsid w:val="007D3C6C"/>
    <w:rsid w:val="007D3C94"/>
    <w:rsid w:val="007D4B62"/>
    <w:rsid w:val="007D4D33"/>
    <w:rsid w:val="007D5489"/>
    <w:rsid w:val="007D571D"/>
    <w:rsid w:val="007D5CAE"/>
    <w:rsid w:val="007D690B"/>
    <w:rsid w:val="007D6E78"/>
    <w:rsid w:val="007D7226"/>
    <w:rsid w:val="007D76B5"/>
    <w:rsid w:val="007D7F77"/>
    <w:rsid w:val="007E133A"/>
    <w:rsid w:val="007E15E0"/>
    <w:rsid w:val="007E1B87"/>
    <w:rsid w:val="007E1C6C"/>
    <w:rsid w:val="007E1D63"/>
    <w:rsid w:val="007E1E0E"/>
    <w:rsid w:val="007E2053"/>
    <w:rsid w:val="007E235C"/>
    <w:rsid w:val="007E27B3"/>
    <w:rsid w:val="007E305A"/>
    <w:rsid w:val="007E38F6"/>
    <w:rsid w:val="007E39EB"/>
    <w:rsid w:val="007E4B27"/>
    <w:rsid w:val="007E5130"/>
    <w:rsid w:val="007E5842"/>
    <w:rsid w:val="007E5981"/>
    <w:rsid w:val="007E5E74"/>
    <w:rsid w:val="007E6079"/>
    <w:rsid w:val="007E6518"/>
    <w:rsid w:val="007E750B"/>
    <w:rsid w:val="007E762B"/>
    <w:rsid w:val="007E79D9"/>
    <w:rsid w:val="007E7CA2"/>
    <w:rsid w:val="007E7E7C"/>
    <w:rsid w:val="007E7F48"/>
    <w:rsid w:val="007F1208"/>
    <w:rsid w:val="007F12AE"/>
    <w:rsid w:val="007F23D3"/>
    <w:rsid w:val="007F24B5"/>
    <w:rsid w:val="007F2F3C"/>
    <w:rsid w:val="007F30BB"/>
    <w:rsid w:val="007F3D1D"/>
    <w:rsid w:val="007F4959"/>
    <w:rsid w:val="007F4D38"/>
    <w:rsid w:val="007F4DE0"/>
    <w:rsid w:val="007F4E92"/>
    <w:rsid w:val="007F5147"/>
    <w:rsid w:val="007F7624"/>
    <w:rsid w:val="007F76C0"/>
    <w:rsid w:val="008004B2"/>
    <w:rsid w:val="00800C4F"/>
    <w:rsid w:val="00800CE6"/>
    <w:rsid w:val="00800E35"/>
    <w:rsid w:val="00801B3F"/>
    <w:rsid w:val="00801BE0"/>
    <w:rsid w:val="00801D45"/>
    <w:rsid w:val="00802765"/>
    <w:rsid w:val="00802AA9"/>
    <w:rsid w:val="00802DA2"/>
    <w:rsid w:val="00802DB6"/>
    <w:rsid w:val="00803181"/>
    <w:rsid w:val="008033CF"/>
    <w:rsid w:val="0080378B"/>
    <w:rsid w:val="00803813"/>
    <w:rsid w:val="00803DAA"/>
    <w:rsid w:val="00804CE1"/>
    <w:rsid w:val="00804CE4"/>
    <w:rsid w:val="00804D2E"/>
    <w:rsid w:val="00805669"/>
    <w:rsid w:val="00805A85"/>
    <w:rsid w:val="00805CCA"/>
    <w:rsid w:val="00806233"/>
    <w:rsid w:val="008063F6"/>
    <w:rsid w:val="008065D2"/>
    <w:rsid w:val="00806B92"/>
    <w:rsid w:val="00807169"/>
    <w:rsid w:val="0081009A"/>
    <w:rsid w:val="008102F4"/>
    <w:rsid w:val="00810495"/>
    <w:rsid w:val="00810CB3"/>
    <w:rsid w:val="0081124A"/>
    <w:rsid w:val="008116A1"/>
    <w:rsid w:val="00811926"/>
    <w:rsid w:val="00811BF6"/>
    <w:rsid w:val="00811CCA"/>
    <w:rsid w:val="0081229E"/>
    <w:rsid w:val="00812451"/>
    <w:rsid w:val="00812859"/>
    <w:rsid w:val="00812E5D"/>
    <w:rsid w:val="0081324A"/>
    <w:rsid w:val="00813316"/>
    <w:rsid w:val="00814131"/>
    <w:rsid w:val="008149B3"/>
    <w:rsid w:val="00814E2E"/>
    <w:rsid w:val="00814E6A"/>
    <w:rsid w:val="00815893"/>
    <w:rsid w:val="00815A7C"/>
    <w:rsid w:val="00815AB0"/>
    <w:rsid w:val="00815B26"/>
    <w:rsid w:val="00815CAD"/>
    <w:rsid w:val="00815D3F"/>
    <w:rsid w:val="00816B49"/>
    <w:rsid w:val="00817049"/>
    <w:rsid w:val="00817BD6"/>
    <w:rsid w:val="00817EDD"/>
    <w:rsid w:val="00820C82"/>
    <w:rsid w:val="00820D06"/>
    <w:rsid w:val="00820DAC"/>
    <w:rsid w:val="008210A5"/>
    <w:rsid w:val="0082137B"/>
    <w:rsid w:val="0082190A"/>
    <w:rsid w:val="00821ACB"/>
    <w:rsid w:val="00822A99"/>
    <w:rsid w:val="00822AEC"/>
    <w:rsid w:val="00822BF2"/>
    <w:rsid w:val="00823104"/>
    <w:rsid w:val="008236F7"/>
    <w:rsid w:val="008238F0"/>
    <w:rsid w:val="00823EB9"/>
    <w:rsid w:val="008242A6"/>
    <w:rsid w:val="00824FD8"/>
    <w:rsid w:val="00825272"/>
    <w:rsid w:val="00825554"/>
    <w:rsid w:val="008267C0"/>
    <w:rsid w:val="008267E1"/>
    <w:rsid w:val="00826C02"/>
    <w:rsid w:val="00827309"/>
    <w:rsid w:val="00827B59"/>
    <w:rsid w:val="00827F50"/>
    <w:rsid w:val="008305FE"/>
    <w:rsid w:val="00830A0F"/>
    <w:rsid w:val="00832C59"/>
    <w:rsid w:val="00833536"/>
    <w:rsid w:val="008335D1"/>
    <w:rsid w:val="00833677"/>
    <w:rsid w:val="00834247"/>
    <w:rsid w:val="0083424F"/>
    <w:rsid w:val="00834255"/>
    <w:rsid w:val="0083530B"/>
    <w:rsid w:val="00835A37"/>
    <w:rsid w:val="00835FF2"/>
    <w:rsid w:val="00836168"/>
    <w:rsid w:val="008362F3"/>
    <w:rsid w:val="00836319"/>
    <w:rsid w:val="00836BEC"/>
    <w:rsid w:val="00836F5F"/>
    <w:rsid w:val="0083740A"/>
    <w:rsid w:val="008379B9"/>
    <w:rsid w:val="00837BC5"/>
    <w:rsid w:val="008419CC"/>
    <w:rsid w:val="00841AB0"/>
    <w:rsid w:val="00841ADC"/>
    <w:rsid w:val="008427B5"/>
    <w:rsid w:val="0084282B"/>
    <w:rsid w:val="00843298"/>
    <w:rsid w:val="00843A5A"/>
    <w:rsid w:val="0084432F"/>
    <w:rsid w:val="00845B33"/>
    <w:rsid w:val="00846F97"/>
    <w:rsid w:val="00846F9A"/>
    <w:rsid w:val="00847374"/>
    <w:rsid w:val="008479C3"/>
    <w:rsid w:val="00847F10"/>
    <w:rsid w:val="00850829"/>
    <w:rsid w:val="0085095F"/>
    <w:rsid w:val="00850CF2"/>
    <w:rsid w:val="00850F8C"/>
    <w:rsid w:val="00851418"/>
    <w:rsid w:val="00851633"/>
    <w:rsid w:val="00851D54"/>
    <w:rsid w:val="00851EF3"/>
    <w:rsid w:val="00852311"/>
    <w:rsid w:val="00852352"/>
    <w:rsid w:val="008535D8"/>
    <w:rsid w:val="008541A1"/>
    <w:rsid w:val="0085448D"/>
    <w:rsid w:val="00854583"/>
    <w:rsid w:val="008548C5"/>
    <w:rsid w:val="00854E48"/>
    <w:rsid w:val="00855264"/>
    <w:rsid w:val="00855279"/>
    <w:rsid w:val="0085534C"/>
    <w:rsid w:val="00855F26"/>
    <w:rsid w:val="00855F69"/>
    <w:rsid w:val="008564EF"/>
    <w:rsid w:val="00857E58"/>
    <w:rsid w:val="008602E6"/>
    <w:rsid w:val="00860301"/>
    <w:rsid w:val="0086078F"/>
    <w:rsid w:val="00860AB0"/>
    <w:rsid w:val="0086157C"/>
    <w:rsid w:val="0086206A"/>
    <w:rsid w:val="00862C52"/>
    <w:rsid w:val="00862CCE"/>
    <w:rsid w:val="00863147"/>
    <w:rsid w:val="0086357E"/>
    <w:rsid w:val="00863602"/>
    <w:rsid w:val="00865271"/>
    <w:rsid w:val="008658A1"/>
    <w:rsid w:val="0086595C"/>
    <w:rsid w:val="0086614B"/>
    <w:rsid w:val="00866173"/>
    <w:rsid w:val="00866588"/>
    <w:rsid w:val="0086663D"/>
    <w:rsid w:val="008666BC"/>
    <w:rsid w:val="00867360"/>
    <w:rsid w:val="00867AA4"/>
    <w:rsid w:val="00870989"/>
    <w:rsid w:val="00870DD2"/>
    <w:rsid w:val="00871E8A"/>
    <w:rsid w:val="00871EE1"/>
    <w:rsid w:val="00872238"/>
    <w:rsid w:val="008722C1"/>
    <w:rsid w:val="00872399"/>
    <w:rsid w:val="00872654"/>
    <w:rsid w:val="0087312D"/>
    <w:rsid w:val="00873414"/>
    <w:rsid w:val="008734DE"/>
    <w:rsid w:val="00873A48"/>
    <w:rsid w:val="00873DA4"/>
    <w:rsid w:val="00873EEE"/>
    <w:rsid w:val="008747F5"/>
    <w:rsid w:val="00874C25"/>
    <w:rsid w:val="00874D86"/>
    <w:rsid w:val="008755E9"/>
    <w:rsid w:val="00875A80"/>
    <w:rsid w:val="008762F0"/>
    <w:rsid w:val="0087693D"/>
    <w:rsid w:val="0087728B"/>
    <w:rsid w:val="0088054E"/>
    <w:rsid w:val="00880B4E"/>
    <w:rsid w:val="00880BC4"/>
    <w:rsid w:val="008815B3"/>
    <w:rsid w:val="00882D15"/>
    <w:rsid w:val="00882DEF"/>
    <w:rsid w:val="00883A8A"/>
    <w:rsid w:val="00883A94"/>
    <w:rsid w:val="0088466B"/>
    <w:rsid w:val="00885427"/>
    <w:rsid w:val="00885AC4"/>
    <w:rsid w:val="00885B8F"/>
    <w:rsid w:val="00885CC2"/>
    <w:rsid w:val="00886875"/>
    <w:rsid w:val="00886BE5"/>
    <w:rsid w:val="00886FEC"/>
    <w:rsid w:val="008871E7"/>
    <w:rsid w:val="008872CE"/>
    <w:rsid w:val="00887601"/>
    <w:rsid w:val="0088766E"/>
    <w:rsid w:val="0088779F"/>
    <w:rsid w:val="00887B84"/>
    <w:rsid w:val="008903DD"/>
    <w:rsid w:val="00891318"/>
    <w:rsid w:val="008913CE"/>
    <w:rsid w:val="00891517"/>
    <w:rsid w:val="0089158C"/>
    <w:rsid w:val="008916FA"/>
    <w:rsid w:val="00891893"/>
    <w:rsid w:val="0089192A"/>
    <w:rsid w:val="00892412"/>
    <w:rsid w:val="00892B8E"/>
    <w:rsid w:val="00892CDE"/>
    <w:rsid w:val="0089334B"/>
    <w:rsid w:val="008935FA"/>
    <w:rsid w:val="008936E0"/>
    <w:rsid w:val="0089390C"/>
    <w:rsid w:val="00893B71"/>
    <w:rsid w:val="00894356"/>
    <w:rsid w:val="00894809"/>
    <w:rsid w:val="00894888"/>
    <w:rsid w:val="00894B94"/>
    <w:rsid w:val="00895274"/>
    <w:rsid w:val="0089583A"/>
    <w:rsid w:val="00895BAF"/>
    <w:rsid w:val="00895E7F"/>
    <w:rsid w:val="008966BF"/>
    <w:rsid w:val="00896C7F"/>
    <w:rsid w:val="0089703D"/>
    <w:rsid w:val="008A1127"/>
    <w:rsid w:val="008A1B14"/>
    <w:rsid w:val="008A2A78"/>
    <w:rsid w:val="008A2CC7"/>
    <w:rsid w:val="008A3190"/>
    <w:rsid w:val="008A36CF"/>
    <w:rsid w:val="008A391F"/>
    <w:rsid w:val="008A3EE5"/>
    <w:rsid w:val="008A40FF"/>
    <w:rsid w:val="008A4977"/>
    <w:rsid w:val="008A4B9A"/>
    <w:rsid w:val="008A4BEE"/>
    <w:rsid w:val="008A6C65"/>
    <w:rsid w:val="008A73E8"/>
    <w:rsid w:val="008A7875"/>
    <w:rsid w:val="008A7A4C"/>
    <w:rsid w:val="008A7BAE"/>
    <w:rsid w:val="008B0AE8"/>
    <w:rsid w:val="008B1832"/>
    <w:rsid w:val="008B1AC6"/>
    <w:rsid w:val="008B1CB0"/>
    <w:rsid w:val="008B2EF2"/>
    <w:rsid w:val="008B2F46"/>
    <w:rsid w:val="008B32F7"/>
    <w:rsid w:val="008B4289"/>
    <w:rsid w:val="008B46B8"/>
    <w:rsid w:val="008B546E"/>
    <w:rsid w:val="008B6A13"/>
    <w:rsid w:val="008B6D2E"/>
    <w:rsid w:val="008B6FFB"/>
    <w:rsid w:val="008B77C8"/>
    <w:rsid w:val="008C0231"/>
    <w:rsid w:val="008C0317"/>
    <w:rsid w:val="008C049E"/>
    <w:rsid w:val="008C14BA"/>
    <w:rsid w:val="008C14F6"/>
    <w:rsid w:val="008C163E"/>
    <w:rsid w:val="008C1C8A"/>
    <w:rsid w:val="008C1EE6"/>
    <w:rsid w:val="008C3006"/>
    <w:rsid w:val="008C315E"/>
    <w:rsid w:val="008C3528"/>
    <w:rsid w:val="008C38ED"/>
    <w:rsid w:val="008C4481"/>
    <w:rsid w:val="008C4FA8"/>
    <w:rsid w:val="008C5EE7"/>
    <w:rsid w:val="008C64D8"/>
    <w:rsid w:val="008C7184"/>
    <w:rsid w:val="008C7717"/>
    <w:rsid w:val="008C7AC0"/>
    <w:rsid w:val="008C7CF6"/>
    <w:rsid w:val="008C7F1A"/>
    <w:rsid w:val="008D0F34"/>
    <w:rsid w:val="008D1183"/>
    <w:rsid w:val="008D1618"/>
    <w:rsid w:val="008D1DE2"/>
    <w:rsid w:val="008D1FD3"/>
    <w:rsid w:val="008D20AA"/>
    <w:rsid w:val="008D2EF1"/>
    <w:rsid w:val="008D2FDC"/>
    <w:rsid w:val="008D39E0"/>
    <w:rsid w:val="008D407C"/>
    <w:rsid w:val="008D411A"/>
    <w:rsid w:val="008D43C0"/>
    <w:rsid w:val="008D524E"/>
    <w:rsid w:val="008D6952"/>
    <w:rsid w:val="008D6AB9"/>
    <w:rsid w:val="008D6B3D"/>
    <w:rsid w:val="008D6C71"/>
    <w:rsid w:val="008D7350"/>
    <w:rsid w:val="008D745C"/>
    <w:rsid w:val="008E0856"/>
    <w:rsid w:val="008E1C29"/>
    <w:rsid w:val="008E1E1D"/>
    <w:rsid w:val="008E1ED1"/>
    <w:rsid w:val="008E2458"/>
    <w:rsid w:val="008E24A5"/>
    <w:rsid w:val="008E2790"/>
    <w:rsid w:val="008E2A03"/>
    <w:rsid w:val="008E2AFD"/>
    <w:rsid w:val="008E3FDA"/>
    <w:rsid w:val="008E4036"/>
    <w:rsid w:val="008E5474"/>
    <w:rsid w:val="008E54B3"/>
    <w:rsid w:val="008E5697"/>
    <w:rsid w:val="008E585D"/>
    <w:rsid w:val="008E58F4"/>
    <w:rsid w:val="008E5A95"/>
    <w:rsid w:val="008E67EC"/>
    <w:rsid w:val="008E6DB7"/>
    <w:rsid w:val="008E73C5"/>
    <w:rsid w:val="008E746C"/>
    <w:rsid w:val="008E7A7F"/>
    <w:rsid w:val="008E7DAA"/>
    <w:rsid w:val="008F0274"/>
    <w:rsid w:val="008F03F3"/>
    <w:rsid w:val="008F0497"/>
    <w:rsid w:val="008F0598"/>
    <w:rsid w:val="008F1142"/>
    <w:rsid w:val="008F115A"/>
    <w:rsid w:val="008F1194"/>
    <w:rsid w:val="008F1471"/>
    <w:rsid w:val="008F1EF0"/>
    <w:rsid w:val="008F2BFA"/>
    <w:rsid w:val="008F2C71"/>
    <w:rsid w:val="008F2F10"/>
    <w:rsid w:val="008F301D"/>
    <w:rsid w:val="008F47C8"/>
    <w:rsid w:val="008F5370"/>
    <w:rsid w:val="008F57A6"/>
    <w:rsid w:val="008F5B55"/>
    <w:rsid w:val="008F5D4C"/>
    <w:rsid w:val="008F5EA0"/>
    <w:rsid w:val="008F628E"/>
    <w:rsid w:val="008F7A67"/>
    <w:rsid w:val="008F7E6F"/>
    <w:rsid w:val="008F7FE2"/>
    <w:rsid w:val="00900245"/>
    <w:rsid w:val="0090060C"/>
    <w:rsid w:val="0090109F"/>
    <w:rsid w:val="00901BEA"/>
    <w:rsid w:val="00902639"/>
    <w:rsid w:val="0090281A"/>
    <w:rsid w:val="0090281F"/>
    <w:rsid w:val="00902AB1"/>
    <w:rsid w:val="00902AC9"/>
    <w:rsid w:val="00902FC3"/>
    <w:rsid w:val="0090305D"/>
    <w:rsid w:val="0090356D"/>
    <w:rsid w:val="009038A8"/>
    <w:rsid w:val="00903A46"/>
    <w:rsid w:val="00903C61"/>
    <w:rsid w:val="009045BB"/>
    <w:rsid w:val="00905147"/>
    <w:rsid w:val="0090538A"/>
    <w:rsid w:val="00905533"/>
    <w:rsid w:val="0090647B"/>
    <w:rsid w:val="00906D15"/>
    <w:rsid w:val="00907E7D"/>
    <w:rsid w:val="00910197"/>
    <w:rsid w:val="0091020D"/>
    <w:rsid w:val="009103CC"/>
    <w:rsid w:val="009107BC"/>
    <w:rsid w:val="00911958"/>
    <w:rsid w:val="009119D0"/>
    <w:rsid w:val="00912990"/>
    <w:rsid w:val="00913139"/>
    <w:rsid w:val="00913627"/>
    <w:rsid w:val="00913B69"/>
    <w:rsid w:val="00914501"/>
    <w:rsid w:val="00914926"/>
    <w:rsid w:val="009152D3"/>
    <w:rsid w:val="009160C6"/>
    <w:rsid w:val="009164DC"/>
    <w:rsid w:val="00916652"/>
    <w:rsid w:val="00916BD0"/>
    <w:rsid w:val="00917469"/>
    <w:rsid w:val="00917DE5"/>
    <w:rsid w:val="009200B1"/>
    <w:rsid w:val="00920BB6"/>
    <w:rsid w:val="00920F40"/>
    <w:rsid w:val="00921FB6"/>
    <w:rsid w:val="00923410"/>
    <w:rsid w:val="009239BF"/>
    <w:rsid w:val="00923D14"/>
    <w:rsid w:val="00924940"/>
    <w:rsid w:val="00924981"/>
    <w:rsid w:val="00925669"/>
    <w:rsid w:val="00925D67"/>
    <w:rsid w:val="00925F19"/>
    <w:rsid w:val="00926294"/>
    <w:rsid w:val="009265CC"/>
    <w:rsid w:val="00926A58"/>
    <w:rsid w:val="00926CFD"/>
    <w:rsid w:val="00927131"/>
    <w:rsid w:val="009317DF"/>
    <w:rsid w:val="009318DC"/>
    <w:rsid w:val="009331BD"/>
    <w:rsid w:val="0093341A"/>
    <w:rsid w:val="009335F8"/>
    <w:rsid w:val="00933D8B"/>
    <w:rsid w:val="00933DE7"/>
    <w:rsid w:val="00935770"/>
    <w:rsid w:val="00935B07"/>
    <w:rsid w:val="00935F9E"/>
    <w:rsid w:val="009364B3"/>
    <w:rsid w:val="00936F87"/>
    <w:rsid w:val="00937356"/>
    <w:rsid w:val="00940443"/>
    <w:rsid w:val="0094075D"/>
    <w:rsid w:val="0094094A"/>
    <w:rsid w:val="009415AA"/>
    <w:rsid w:val="0094166F"/>
    <w:rsid w:val="00941696"/>
    <w:rsid w:val="009416AE"/>
    <w:rsid w:val="00941A7D"/>
    <w:rsid w:val="009420E6"/>
    <w:rsid w:val="0094213C"/>
    <w:rsid w:val="009423CB"/>
    <w:rsid w:val="009425FD"/>
    <w:rsid w:val="00942996"/>
    <w:rsid w:val="00942BA9"/>
    <w:rsid w:val="00942D16"/>
    <w:rsid w:val="00943494"/>
    <w:rsid w:val="009436CA"/>
    <w:rsid w:val="00944784"/>
    <w:rsid w:val="009450DD"/>
    <w:rsid w:val="00945107"/>
    <w:rsid w:val="00945290"/>
    <w:rsid w:val="009452BC"/>
    <w:rsid w:val="00945322"/>
    <w:rsid w:val="00945DFB"/>
    <w:rsid w:val="00946428"/>
    <w:rsid w:val="00946AD2"/>
    <w:rsid w:val="00947946"/>
    <w:rsid w:val="00947BB6"/>
    <w:rsid w:val="00947C13"/>
    <w:rsid w:val="00950798"/>
    <w:rsid w:val="009507BB"/>
    <w:rsid w:val="009508C5"/>
    <w:rsid w:val="00950D0C"/>
    <w:rsid w:val="00950ECE"/>
    <w:rsid w:val="0095146D"/>
    <w:rsid w:val="00951532"/>
    <w:rsid w:val="0095287C"/>
    <w:rsid w:val="00952C31"/>
    <w:rsid w:val="00952F12"/>
    <w:rsid w:val="009549AB"/>
    <w:rsid w:val="00954CD2"/>
    <w:rsid w:val="00956121"/>
    <w:rsid w:val="0095641D"/>
    <w:rsid w:val="0095684B"/>
    <w:rsid w:val="0095688B"/>
    <w:rsid w:val="00956E3E"/>
    <w:rsid w:val="00956FBD"/>
    <w:rsid w:val="00957E42"/>
    <w:rsid w:val="00961174"/>
    <w:rsid w:val="00961C57"/>
    <w:rsid w:val="00961E77"/>
    <w:rsid w:val="00962575"/>
    <w:rsid w:val="009627DA"/>
    <w:rsid w:val="00962C99"/>
    <w:rsid w:val="00963E6A"/>
    <w:rsid w:val="00963F9D"/>
    <w:rsid w:val="00964133"/>
    <w:rsid w:val="0096437E"/>
    <w:rsid w:val="0096487A"/>
    <w:rsid w:val="00964F3E"/>
    <w:rsid w:val="0096580D"/>
    <w:rsid w:val="0096626D"/>
    <w:rsid w:val="00966633"/>
    <w:rsid w:val="00967314"/>
    <w:rsid w:val="00967577"/>
    <w:rsid w:val="00967F9D"/>
    <w:rsid w:val="009703D9"/>
    <w:rsid w:val="0097069B"/>
    <w:rsid w:val="009707C7"/>
    <w:rsid w:val="0097093E"/>
    <w:rsid w:val="00971045"/>
    <w:rsid w:val="00971D3D"/>
    <w:rsid w:val="00971ED6"/>
    <w:rsid w:val="0097214C"/>
    <w:rsid w:val="00972F12"/>
    <w:rsid w:val="00972FF3"/>
    <w:rsid w:val="009736B3"/>
    <w:rsid w:val="009741A2"/>
    <w:rsid w:val="00974AA4"/>
    <w:rsid w:val="00975027"/>
    <w:rsid w:val="00975188"/>
    <w:rsid w:val="0097543E"/>
    <w:rsid w:val="00975BDA"/>
    <w:rsid w:val="00976302"/>
    <w:rsid w:val="00977D30"/>
    <w:rsid w:val="00977DCD"/>
    <w:rsid w:val="00977F9A"/>
    <w:rsid w:val="0098026F"/>
    <w:rsid w:val="0098075C"/>
    <w:rsid w:val="00981448"/>
    <w:rsid w:val="0098181C"/>
    <w:rsid w:val="00981D66"/>
    <w:rsid w:val="00982211"/>
    <w:rsid w:val="009823EE"/>
    <w:rsid w:val="0098270B"/>
    <w:rsid w:val="009830BA"/>
    <w:rsid w:val="00983242"/>
    <w:rsid w:val="0098396D"/>
    <w:rsid w:val="0098507C"/>
    <w:rsid w:val="00985365"/>
    <w:rsid w:val="009856A6"/>
    <w:rsid w:val="0098632D"/>
    <w:rsid w:val="0099008F"/>
    <w:rsid w:val="009902FF"/>
    <w:rsid w:val="00990759"/>
    <w:rsid w:val="0099097C"/>
    <w:rsid w:val="00991522"/>
    <w:rsid w:val="009916CE"/>
    <w:rsid w:val="00992303"/>
    <w:rsid w:val="009927DC"/>
    <w:rsid w:val="00992869"/>
    <w:rsid w:val="00992949"/>
    <w:rsid w:val="00992AFA"/>
    <w:rsid w:val="00992DAF"/>
    <w:rsid w:val="00993220"/>
    <w:rsid w:val="009938A0"/>
    <w:rsid w:val="009942EB"/>
    <w:rsid w:val="009944F7"/>
    <w:rsid w:val="0099458E"/>
    <w:rsid w:val="00995016"/>
    <w:rsid w:val="00995A3F"/>
    <w:rsid w:val="00995BC6"/>
    <w:rsid w:val="0099688F"/>
    <w:rsid w:val="009971FD"/>
    <w:rsid w:val="009A0BC6"/>
    <w:rsid w:val="009A1043"/>
    <w:rsid w:val="009A1C20"/>
    <w:rsid w:val="009A3DB9"/>
    <w:rsid w:val="009A465A"/>
    <w:rsid w:val="009A4BC7"/>
    <w:rsid w:val="009A5521"/>
    <w:rsid w:val="009A57BA"/>
    <w:rsid w:val="009A57DE"/>
    <w:rsid w:val="009A6DF6"/>
    <w:rsid w:val="009A7295"/>
    <w:rsid w:val="009A7D1F"/>
    <w:rsid w:val="009B0944"/>
    <w:rsid w:val="009B0B5A"/>
    <w:rsid w:val="009B0CAF"/>
    <w:rsid w:val="009B10A6"/>
    <w:rsid w:val="009B1430"/>
    <w:rsid w:val="009B195E"/>
    <w:rsid w:val="009B1EB2"/>
    <w:rsid w:val="009B1F83"/>
    <w:rsid w:val="009B1FCD"/>
    <w:rsid w:val="009B24E3"/>
    <w:rsid w:val="009B2726"/>
    <w:rsid w:val="009B296B"/>
    <w:rsid w:val="009B3306"/>
    <w:rsid w:val="009B3941"/>
    <w:rsid w:val="009B3F35"/>
    <w:rsid w:val="009B4415"/>
    <w:rsid w:val="009B4FBA"/>
    <w:rsid w:val="009B55BD"/>
    <w:rsid w:val="009B5A82"/>
    <w:rsid w:val="009B6ACA"/>
    <w:rsid w:val="009B753D"/>
    <w:rsid w:val="009B7870"/>
    <w:rsid w:val="009B7E04"/>
    <w:rsid w:val="009C0429"/>
    <w:rsid w:val="009C08DC"/>
    <w:rsid w:val="009C16B0"/>
    <w:rsid w:val="009C1B7B"/>
    <w:rsid w:val="009C1CAC"/>
    <w:rsid w:val="009C3926"/>
    <w:rsid w:val="009C3927"/>
    <w:rsid w:val="009C3D4A"/>
    <w:rsid w:val="009C422C"/>
    <w:rsid w:val="009C43B6"/>
    <w:rsid w:val="009C4C4E"/>
    <w:rsid w:val="009C573E"/>
    <w:rsid w:val="009C603D"/>
    <w:rsid w:val="009C6052"/>
    <w:rsid w:val="009C6116"/>
    <w:rsid w:val="009C6BA5"/>
    <w:rsid w:val="009C6C29"/>
    <w:rsid w:val="009C6ECE"/>
    <w:rsid w:val="009C6FF0"/>
    <w:rsid w:val="009C7592"/>
    <w:rsid w:val="009C775A"/>
    <w:rsid w:val="009C79D1"/>
    <w:rsid w:val="009D0273"/>
    <w:rsid w:val="009D0693"/>
    <w:rsid w:val="009D0707"/>
    <w:rsid w:val="009D0941"/>
    <w:rsid w:val="009D09CD"/>
    <w:rsid w:val="009D0AB9"/>
    <w:rsid w:val="009D1035"/>
    <w:rsid w:val="009D1283"/>
    <w:rsid w:val="009D17C6"/>
    <w:rsid w:val="009D2057"/>
    <w:rsid w:val="009D24F9"/>
    <w:rsid w:val="009D27D2"/>
    <w:rsid w:val="009D29BD"/>
    <w:rsid w:val="009D2A17"/>
    <w:rsid w:val="009D2DFF"/>
    <w:rsid w:val="009D2E41"/>
    <w:rsid w:val="009D2EEC"/>
    <w:rsid w:val="009D2F07"/>
    <w:rsid w:val="009D39AB"/>
    <w:rsid w:val="009D3C4D"/>
    <w:rsid w:val="009D409F"/>
    <w:rsid w:val="009D43C0"/>
    <w:rsid w:val="009D459E"/>
    <w:rsid w:val="009D46EF"/>
    <w:rsid w:val="009D4A61"/>
    <w:rsid w:val="009D5B60"/>
    <w:rsid w:val="009D6022"/>
    <w:rsid w:val="009D6316"/>
    <w:rsid w:val="009D63E8"/>
    <w:rsid w:val="009D6E23"/>
    <w:rsid w:val="009D7345"/>
    <w:rsid w:val="009D75D4"/>
    <w:rsid w:val="009D763C"/>
    <w:rsid w:val="009D7A76"/>
    <w:rsid w:val="009E02ED"/>
    <w:rsid w:val="009E0694"/>
    <w:rsid w:val="009E069C"/>
    <w:rsid w:val="009E123B"/>
    <w:rsid w:val="009E13A8"/>
    <w:rsid w:val="009E1437"/>
    <w:rsid w:val="009E1440"/>
    <w:rsid w:val="009E1C68"/>
    <w:rsid w:val="009E1D3F"/>
    <w:rsid w:val="009E1FD7"/>
    <w:rsid w:val="009E27A0"/>
    <w:rsid w:val="009E37C5"/>
    <w:rsid w:val="009E3B85"/>
    <w:rsid w:val="009E4F90"/>
    <w:rsid w:val="009E4FF9"/>
    <w:rsid w:val="009E503B"/>
    <w:rsid w:val="009E5515"/>
    <w:rsid w:val="009E58A9"/>
    <w:rsid w:val="009E5F34"/>
    <w:rsid w:val="009E6876"/>
    <w:rsid w:val="009E68F4"/>
    <w:rsid w:val="009E6BAD"/>
    <w:rsid w:val="009E6C12"/>
    <w:rsid w:val="009E6D67"/>
    <w:rsid w:val="009E6F95"/>
    <w:rsid w:val="009E7C73"/>
    <w:rsid w:val="009E7EDC"/>
    <w:rsid w:val="009F06E7"/>
    <w:rsid w:val="009F0912"/>
    <w:rsid w:val="009F0AB7"/>
    <w:rsid w:val="009F14B8"/>
    <w:rsid w:val="009F20F5"/>
    <w:rsid w:val="009F2E18"/>
    <w:rsid w:val="009F4234"/>
    <w:rsid w:val="009F42B1"/>
    <w:rsid w:val="009F4ABD"/>
    <w:rsid w:val="009F4C17"/>
    <w:rsid w:val="009F4EBE"/>
    <w:rsid w:val="009F625A"/>
    <w:rsid w:val="009F6267"/>
    <w:rsid w:val="009F6863"/>
    <w:rsid w:val="009F6A26"/>
    <w:rsid w:val="009F6A89"/>
    <w:rsid w:val="009F7779"/>
    <w:rsid w:val="009F7A72"/>
    <w:rsid w:val="00A00E9E"/>
    <w:rsid w:val="00A014B3"/>
    <w:rsid w:val="00A01E6F"/>
    <w:rsid w:val="00A01EDA"/>
    <w:rsid w:val="00A01FC6"/>
    <w:rsid w:val="00A0291E"/>
    <w:rsid w:val="00A02B1C"/>
    <w:rsid w:val="00A03CD1"/>
    <w:rsid w:val="00A052AB"/>
    <w:rsid w:val="00A05337"/>
    <w:rsid w:val="00A06315"/>
    <w:rsid w:val="00A06574"/>
    <w:rsid w:val="00A06CEB"/>
    <w:rsid w:val="00A0758C"/>
    <w:rsid w:val="00A07C32"/>
    <w:rsid w:val="00A07DB3"/>
    <w:rsid w:val="00A101D1"/>
    <w:rsid w:val="00A10668"/>
    <w:rsid w:val="00A10CFE"/>
    <w:rsid w:val="00A10D94"/>
    <w:rsid w:val="00A11463"/>
    <w:rsid w:val="00A11991"/>
    <w:rsid w:val="00A12373"/>
    <w:rsid w:val="00A1267F"/>
    <w:rsid w:val="00A12924"/>
    <w:rsid w:val="00A137A4"/>
    <w:rsid w:val="00A137C8"/>
    <w:rsid w:val="00A139D2"/>
    <w:rsid w:val="00A13ABE"/>
    <w:rsid w:val="00A13CD1"/>
    <w:rsid w:val="00A14AB5"/>
    <w:rsid w:val="00A14EF2"/>
    <w:rsid w:val="00A1501E"/>
    <w:rsid w:val="00A15134"/>
    <w:rsid w:val="00A1538E"/>
    <w:rsid w:val="00A159C2"/>
    <w:rsid w:val="00A15DBE"/>
    <w:rsid w:val="00A1617B"/>
    <w:rsid w:val="00A1629A"/>
    <w:rsid w:val="00A16B39"/>
    <w:rsid w:val="00A16D14"/>
    <w:rsid w:val="00A173E0"/>
    <w:rsid w:val="00A17678"/>
    <w:rsid w:val="00A20042"/>
    <w:rsid w:val="00A20EA8"/>
    <w:rsid w:val="00A2100F"/>
    <w:rsid w:val="00A2197D"/>
    <w:rsid w:val="00A22173"/>
    <w:rsid w:val="00A22235"/>
    <w:rsid w:val="00A223DB"/>
    <w:rsid w:val="00A22439"/>
    <w:rsid w:val="00A22998"/>
    <w:rsid w:val="00A22ABE"/>
    <w:rsid w:val="00A22F9E"/>
    <w:rsid w:val="00A23045"/>
    <w:rsid w:val="00A230DA"/>
    <w:rsid w:val="00A23638"/>
    <w:rsid w:val="00A2394C"/>
    <w:rsid w:val="00A24435"/>
    <w:rsid w:val="00A2495C"/>
    <w:rsid w:val="00A25123"/>
    <w:rsid w:val="00A25503"/>
    <w:rsid w:val="00A25B57"/>
    <w:rsid w:val="00A26497"/>
    <w:rsid w:val="00A269C8"/>
    <w:rsid w:val="00A26AE5"/>
    <w:rsid w:val="00A273BB"/>
    <w:rsid w:val="00A2740A"/>
    <w:rsid w:val="00A27975"/>
    <w:rsid w:val="00A27E70"/>
    <w:rsid w:val="00A30BC4"/>
    <w:rsid w:val="00A30C6E"/>
    <w:rsid w:val="00A31815"/>
    <w:rsid w:val="00A31EDA"/>
    <w:rsid w:val="00A32314"/>
    <w:rsid w:val="00A32A63"/>
    <w:rsid w:val="00A33092"/>
    <w:rsid w:val="00A3426D"/>
    <w:rsid w:val="00A345D6"/>
    <w:rsid w:val="00A34C7B"/>
    <w:rsid w:val="00A3503A"/>
    <w:rsid w:val="00A352E5"/>
    <w:rsid w:val="00A3535F"/>
    <w:rsid w:val="00A35B1A"/>
    <w:rsid w:val="00A35B8F"/>
    <w:rsid w:val="00A3677B"/>
    <w:rsid w:val="00A36783"/>
    <w:rsid w:val="00A372DD"/>
    <w:rsid w:val="00A37963"/>
    <w:rsid w:val="00A37A33"/>
    <w:rsid w:val="00A37C65"/>
    <w:rsid w:val="00A403B1"/>
    <w:rsid w:val="00A406C3"/>
    <w:rsid w:val="00A409B9"/>
    <w:rsid w:val="00A4169A"/>
    <w:rsid w:val="00A41893"/>
    <w:rsid w:val="00A42C02"/>
    <w:rsid w:val="00A4325B"/>
    <w:rsid w:val="00A433A8"/>
    <w:rsid w:val="00A43575"/>
    <w:rsid w:val="00A4422B"/>
    <w:rsid w:val="00A447DF"/>
    <w:rsid w:val="00A4497C"/>
    <w:rsid w:val="00A44BE5"/>
    <w:rsid w:val="00A45055"/>
    <w:rsid w:val="00A45328"/>
    <w:rsid w:val="00A45A73"/>
    <w:rsid w:val="00A460EF"/>
    <w:rsid w:val="00A50182"/>
    <w:rsid w:val="00A50887"/>
    <w:rsid w:val="00A51107"/>
    <w:rsid w:val="00A5116E"/>
    <w:rsid w:val="00A513B3"/>
    <w:rsid w:val="00A51E2B"/>
    <w:rsid w:val="00A5205D"/>
    <w:rsid w:val="00A5281A"/>
    <w:rsid w:val="00A52AAE"/>
    <w:rsid w:val="00A52B62"/>
    <w:rsid w:val="00A52EF7"/>
    <w:rsid w:val="00A53023"/>
    <w:rsid w:val="00A53025"/>
    <w:rsid w:val="00A53366"/>
    <w:rsid w:val="00A536F5"/>
    <w:rsid w:val="00A5382A"/>
    <w:rsid w:val="00A53869"/>
    <w:rsid w:val="00A539C5"/>
    <w:rsid w:val="00A53AB6"/>
    <w:rsid w:val="00A53EB9"/>
    <w:rsid w:val="00A54E68"/>
    <w:rsid w:val="00A5606D"/>
    <w:rsid w:val="00A56C2F"/>
    <w:rsid w:val="00A57017"/>
    <w:rsid w:val="00A57299"/>
    <w:rsid w:val="00A57EF2"/>
    <w:rsid w:val="00A60469"/>
    <w:rsid w:val="00A606E8"/>
    <w:rsid w:val="00A60BDF"/>
    <w:rsid w:val="00A60C09"/>
    <w:rsid w:val="00A60D37"/>
    <w:rsid w:val="00A6227E"/>
    <w:rsid w:val="00A626E7"/>
    <w:rsid w:val="00A6297D"/>
    <w:rsid w:val="00A63641"/>
    <w:rsid w:val="00A63923"/>
    <w:rsid w:val="00A63993"/>
    <w:rsid w:val="00A640F0"/>
    <w:rsid w:val="00A64DC9"/>
    <w:rsid w:val="00A650A6"/>
    <w:rsid w:val="00A653C1"/>
    <w:rsid w:val="00A66310"/>
    <w:rsid w:val="00A66F9A"/>
    <w:rsid w:val="00A670D6"/>
    <w:rsid w:val="00A6796B"/>
    <w:rsid w:val="00A67A51"/>
    <w:rsid w:val="00A702B4"/>
    <w:rsid w:val="00A70B55"/>
    <w:rsid w:val="00A70BA4"/>
    <w:rsid w:val="00A71D2F"/>
    <w:rsid w:val="00A71FA5"/>
    <w:rsid w:val="00A72325"/>
    <w:rsid w:val="00A726FC"/>
    <w:rsid w:val="00A7272E"/>
    <w:rsid w:val="00A7277C"/>
    <w:rsid w:val="00A72CFB"/>
    <w:rsid w:val="00A72FFF"/>
    <w:rsid w:val="00A73446"/>
    <w:rsid w:val="00A74410"/>
    <w:rsid w:val="00A74A08"/>
    <w:rsid w:val="00A74FBC"/>
    <w:rsid w:val="00A7514B"/>
    <w:rsid w:val="00A75F5C"/>
    <w:rsid w:val="00A76075"/>
    <w:rsid w:val="00A762B3"/>
    <w:rsid w:val="00A77000"/>
    <w:rsid w:val="00A774EB"/>
    <w:rsid w:val="00A77614"/>
    <w:rsid w:val="00A777E5"/>
    <w:rsid w:val="00A77940"/>
    <w:rsid w:val="00A77DDC"/>
    <w:rsid w:val="00A80148"/>
    <w:rsid w:val="00A8078C"/>
    <w:rsid w:val="00A808A8"/>
    <w:rsid w:val="00A81B67"/>
    <w:rsid w:val="00A81C75"/>
    <w:rsid w:val="00A81DD9"/>
    <w:rsid w:val="00A81FF5"/>
    <w:rsid w:val="00A8289C"/>
    <w:rsid w:val="00A82F3E"/>
    <w:rsid w:val="00A830E6"/>
    <w:rsid w:val="00A833B3"/>
    <w:rsid w:val="00A83D35"/>
    <w:rsid w:val="00A8480C"/>
    <w:rsid w:val="00A8483D"/>
    <w:rsid w:val="00A85BA2"/>
    <w:rsid w:val="00A86149"/>
    <w:rsid w:val="00A872CA"/>
    <w:rsid w:val="00A90B1E"/>
    <w:rsid w:val="00A90E98"/>
    <w:rsid w:val="00A91A72"/>
    <w:rsid w:val="00A91F34"/>
    <w:rsid w:val="00A922C5"/>
    <w:rsid w:val="00A92B92"/>
    <w:rsid w:val="00A92E79"/>
    <w:rsid w:val="00A93204"/>
    <w:rsid w:val="00A943FD"/>
    <w:rsid w:val="00A94431"/>
    <w:rsid w:val="00A9473D"/>
    <w:rsid w:val="00A94ED6"/>
    <w:rsid w:val="00A9569F"/>
    <w:rsid w:val="00A9692E"/>
    <w:rsid w:val="00A97399"/>
    <w:rsid w:val="00A974D1"/>
    <w:rsid w:val="00A97E36"/>
    <w:rsid w:val="00AA0943"/>
    <w:rsid w:val="00AA0AC9"/>
    <w:rsid w:val="00AA0B8F"/>
    <w:rsid w:val="00AA152B"/>
    <w:rsid w:val="00AA23A9"/>
    <w:rsid w:val="00AA24EE"/>
    <w:rsid w:val="00AA4276"/>
    <w:rsid w:val="00AA43DD"/>
    <w:rsid w:val="00AA477E"/>
    <w:rsid w:val="00AA4BCB"/>
    <w:rsid w:val="00AA55A7"/>
    <w:rsid w:val="00AA5996"/>
    <w:rsid w:val="00AA609C"/>
    <w:rsid w:val="00AA6265"/>
    <w:rsid w:val="00AA6372"/>
    <w:rsid w:val="00AA63B0"/>
    <w:rsid w:val="00AA68FF"/>
    <w:rsid w:val="00AA70B8"/>
    <w:rsid w:val="00AA76A1"/>
    <w:rsid w:val="00AA7B41"/>
    <w:rsid w:val="00AA7E8D"/>
    <w:rsid w:val="00AB0765"/>
    <w:rsid w:val="00AB0B0C"/>
    <w:rsid w:val="00AB137A"/>
    <w:rsid w:val="00AB21E0"/>
    <w:rsid w:val="00AB299A"/>
    <w:rsid w:val="00AB30BD"/>
    <w:rsid w:val="00AB31D5"/>
    <w:rsid w:val="00AB3665"/>
    <w:rsid w:val="00AB3B7F"/>
    <w:rsid w:val="00AB433B"/>
    <w:rsid w:val="00AB471A"/>
    <w:rsid w:val="00AB499F"/>
    <w:rsid w:val="00AB4ADF"/>
    <w:rsid w:val="00AB4F83"/>
    <w:rsid w:val="00AB54A6"/>
    <w:rsid w:val="00AB6ADE"/>
    <w:rsid w:val="00AB6D25"/>
    <w:rsid w:val="00AB6E3B"/>
    <w:rsid w:val="00AB7356"/>
    <w:rsid w:val="00AB75F4"/>
    <w:rsid w:val="00AB788F"/>
    <w:rsid w:val="00AB79AA"/>
    <w:rsid w:val="00AC0319"/>
    <w:rsid w:val="00AC082C"/>
    <w:rsid w:val="00AC0F7D"/>
    <w:rsid w:val="00AC1891"/>
    <w:rsid w:val="00AC27F9"/>
    <w:rsid w:val="00AC3C33"/>
    <w:rsid w:val="00AC3DBC"/>
    <w:rsid w:val="00AC421C"/>
    <w:rsid w:val="00AC571E"/>
    <w:rsid w:val="00AC577E"/>
    <w:rsid w:val="00AC6832"/>
    <w:rsid w:val="00AC7A04"/>
    <w:rsid w:val="00AC7C0A"/>
    <w:rsid w:val="00AC7F50"/>
    <w:rsid w:val="00AD0057"/>
    <w:rsid w:val="00AD0149"/>
    <w:rsid w:val="00AD03D8"/>
    <w:rsid w:val="00AD044A"/>
    <w:rsid w:val="00AD06F3"/>
    <w:rsid w:val="00AD0822"/>
    <w:rsid w:val="00AD10BB"/>
    <w:rsid w:val="00AD1EF5"/>
    <w:rsid w:val="00AD25B6"/>
    <w:rsid w:val="00AD2B6B"/>
    <w:rsid w:val="00AD3482"/>
    <w:rsid w:val="00AD381D"/>
    <w:rsid w:val="00AD3822"/>
    <w:rsid w:val="00AD3AF6"/>
    <w:rsid w:val="00AD3DBE"/>
    <w:rsid w:val="00AD462D"/>
    <w:rsid w:val="00AD561F"/>
    <w:rsid w:val="00AD57F4"/>
    <w:rsid w:val="00AD59DA"/>
    <w:rsid w:val="00AD5B7B"/>
    <w:rsid w:val="00AD5C04"/>
    <w:rsid w:val="00AD5DF0"/>
    <w:rsid w:val="00AD5DF2"/>
    <w:rsid w:val="00AD6774"/>
    <w:rsid w:val="00AD6FA7"/>
    <w:rsid w:val="00AD7930"/>
    <w:rsid w:val="00AD7A1F"/>
    <w:rsid w:val="00AD7A21"/>
    <w:rsid w:val="00AD7CC4"/>
    <w:rsid w:val="00AD7F81"/>
    <w:rsid w:val="00AD7F89"/>
    <w:rsid w:val="00AE0165"/>
    <w:rsid w:val="00AE0209"/>
    <w:rsid w:val="00AE09FE"/>
    <w:rsid w:val="00AE0C19"/>
    <w:rsid w:val="00AE0C35"/>
    <w:rsid w:val="00AE1402"/>
    <w:rsid w:val="00AE21E2"/>
    <w:rsid w:val="00AE252B"/>
    <w:rsid w:val="00AE2BA0"/>
    <w:rsid w:val="00AE2BA6"/>
    <w:rsid w:val="00AE2F8D"/>
    <w:rsid w:val="00AE33AF"/>
    <w:rsid w:val="00AE385F"/>
    <w:rsid w:val="00AE3E87"/>
    <w:rsid w:val="00AE3F70"/>
    <w:rsid w:val="00AE3FBA"/>
    <w:rsid w:val="00AE4651"/>
    <w:rsid w:val="00AE4CF3"/>
    <w:rsid w:val="00AE4FA3"/>
    <w:rsid w:val="00AE5426"/>
    <w:rsid w:val="00AE5736"/>
    <w:rsid w:val="00AE5D2A"/>
    <w:rsid w:val="00AE65F8"/>
    <w:rsid w:val="00AE6FF6"/>
    <w:rsid w:val="00AE7043"/>
    <w:rsid w:val="00AE70A4"/>
    <w:rsid w:val="00AE70D2"/>
    <w:rsid w:val="00AE7D81"/>
    <w:rsid w:val="00AE7D9C"/>
    <w:rsid w:val="00AF0DD9"/>
    <w:rsid w:val="00AF1783"/>
    <w:rsid w:val="00AF1A47"/>
    <w:rsid w:val="00AF1A62"/>
    <w:rsid w:val="00AF2527"/>
    <w:rsid w:val="00AF2A92"/>
    <w:rsid w:val="00AF32E3"/>
    <w:rsid w:val="00AF3E2B"/>
    <w:rsid w:val="00AF3F0E"/>
    <w:rsid w:val="00AF4380"/>
    <w:rsid w:val="00AF4B50"/>
    <w:rsid w:val="00AF4D9C"/>
    <w:rsid w:val="00AF52EA"/>
    <w:rsid w:val="00AF55A6"/>
    <w:rsid w:val="00AF5941"/>
    <w:rsid w:val="00AF6C82"/>
    <w:rsid w:val="00AF708E"/>
    <w:rsid w:val="00AF7E25"/>
    <w:rsid w:val="00B0071B"/>
    <w:rsid w:val="00B00EBF"/>
    <w:rsid w:val="00B0118C"/>
    <w:rsid w:val="00B012AF"/>
    <w:rsid w:val="00B01ABD"/>
    <w:rsid w:val="00B01FBF"/>
    <w:rsid w:val="00B03E97"/>
    <w:rsid w:val="00B044D5"/>
    <w:rsid w:val="00B04B77"/>
    <w:rsid w:val="00B052EB"/>
    <w:rsid w:val="00B053C5"/>
    <w:rsid w:val="00B058E1"/>
    <w:rsid w:val="00B05E9E"/>
    <w:rsid w:val="00B06BCC"/>
    <w:rsid w:val="00B06F1D"/>
    <w:rsid w:val="00B0793F"/>
    <w:rsid w:val="00B10AD6"/>
    <w:rsid w:val="00B10D6A"/>
    <w:rsid w:val="00B10E46"/>
    <w:rsid w:val="00B11396"/>
    <w:rsid w:val="00B12007"/>
    <w:rsid w:val="00B124D0"/>
    <w:rsid w:val="00B129CA"/>
    <w:rsid w:val="00B1390D"/>
    <w:rsid w:val="00B13BE2"/>
    <w:rsid w:val="00B157A0"/>
    <w:rsid w:val="00B15FEF"/>
    <w:rsid w:val="00B1609F"/>
    <w:rsid w:val="00B16B2D"/>
    <w:rsid w:val="00B171BB"/>
    <w:rsid w:val="00B177A5"/>
    <w:rsid w:val="00B208EE"/>
    <w:rsid w:val="00B20F10"/>
    <w:rsid w:val="00B20FBA"/>
    <w:rsid w:val="00B213EA"/>
    <w:rsid w:val="00B2204F"/>
    <w:rsid w:val="00B22B7E"/>
    <w:rsid w:val="00B22E35"/>
    <w:rsid w:val="00B230F6"/>
    <w:rsid w:val="00B239BC"/>
    <w:rsid w:val="00B23B18"/>
    <w:rsid w:val="00B23F21"/>
    <w:rsid w:val="00B24BCA"/>
    <w:rsid w:val="00B24ECA"/>
    <w:rsid w:val="00B24F12"/>
    <w:rsid w:val="00B2565D"/>
    <w:rsid w:val="00B268A8"/>
    <w:rsid w:val="00B26945"/>
    <w:rsid w:val="00B278B4"/>
    <w:rsid w:val="00B279FF"/>
    <w:rsid w:val="00B27CD7"/>
    <w:rsid w:val="00B3063E"/>
    <w:rsid w:val="00B309AE"/>
    <w:rsid w:val="00B30F21"/>
    <w:rsid w:val="00B30F97"/>
    <w:rsid w:val="00B318CE"/>
    <w:rsid w:val="00B32010"/>
    <w:rsid w:val="00B326BD"/>
    <w:rsid w:val="00B32A2C"/>
    <w:rsid w:val="00B3330D"/>
    <w:rsid w:val="00B336B7"/>
    <w:rsid w:val="00B34226"/>
    <w:rsid w:val="00B3427C"/>
    <w:rsid w:val="00B343EA"/>
    <w:rsid w:val="00B344DC"/>
    <w:rsid w:val="00B34CAF"/>
    <w:rsid w:val="00B352A1"/>
    <w:rsid w:val="00B35B1E"/>
    <w:rsid w:val="00B36958"/>
    <w:rsid w:val="00B36FA2"/>
    <w:rsid w:val="00B3705E"/>
    <w:rsid w:val="00B37726"/>
    <w:rsid w:val="00B37BC3"/>
    <w:rsid w:val="00B40112"/>
    <w:rsid w:val="00B40CF1"/>
    <w:rsid w:val="00B41544"/>
    <w:rsid w:val="00B417A3"/>
    <w:rsid w:val="00B41C92"/>
    <w:rsid w:val="00B41E25"/>
    <w:rsid w:val="00B424A9"/>
    <w:rsid w:val="00B42F1B"/>
    <w:rsid w:val="00B43908"/>
    <w:rsid w:val="00B4487A"/>
    <w:rsid w:val="00B44F2F"/>
    <w:rsid w:val="00B46234"/>
    <w:rsid w:val="00B46408"/>
    <w:rsid w:val="00B46D92"/>
    <w:rsid w:val="00B47C47"/>
    <w:rsid w:val="00B47E0D"/>
    <w:rsid w:val="00B5049A"/>
    <w:rsid w:val="00B50585"/>
    <w:rsid w:val="00B5081A"/>
    <w:rsid w:val="00B51213"/>
    <w:rsid w:val="00B51A6E"/>
    <w:rsid w:val="00B51AD1"/>
    <w:rsid w:val="00B51E98"/>
    <w:rsid w:val="00B52D93"/>
    <w:rsid w:val="00B52E56"/>
    <w:rsid w:val="00B53260"/>
    <w:rsid w:val="00B53265"/>
    <w:rsid w:val="00B53645"/>
    <w:rsid w:val="00B53958"/>
    <w:rsid w:val="00B5414E"/>
    <w:rsid w:val="00B5483E"/>
    <w:rsid w:val="00B55280"/>
    <w:rsid w:val="00B552FE"/>
    <w:rsid w:val="00B55850"/>
    <w:rsid w:val="00B56A34"/>
    <w:rsid w:val="00B60D42"/>
    <w:rsid w:val="00B61525"/>
    <w:rsid w:val="00B615DD"/>
    <w:rsid w:val="00B61790"/>
    <w:rsid w:val="00B621D2"/>
    <w:rsid w:val="00B63B02"/>
    <w:rsid w:val="00B63D7D"/>
    <w:rsid w:val="00B63D94"/>
    <w:rsid w:val="00B64754"/>
    <w:rsid w:val="00B6479C"/>
    <w:rsid w:val="00B648FB"/>
    <w:rsid w:val="00B64B70"/>
    <w:rsid w:val="00B64C3D"/>
    <w:rsid w:val="00B6515A"/>
    <w:rsid w:val="00B65F59"/>
    <w:rsid w:val="00B6651E"/>
    <w:rsid w:val="00B67062"/>
    <w:rsid w:val="00B6726E"/>
    <w:rsid w:val="00B67415"/>
    <w:rsid w:val="00B679C4"/>
    <w:rsid w:val="00B67C08"/>
    <w:rsid w:val="00B701D9"/>
    <w:rsid w:val="00B70FD6"/>
    <w:rsid w:val="00B71C97"/>
    <w:rsid w:val="00B71DAF"/>
    <w:rsid w:val="00B726C3"/>
    <w:rsid w:val="00B72891"/>
    <w:rsid w:val="00B72C27"/>
    <w:rsid w:val="00B730BF"/>
    <w:rsid w:val="00B73211"/>
    <w:rsid w:val="00B73788"/>
    <w:rsid w:val="00B742E8"/>
    <w:rsid w:val="00B7487E"/>
    <w:rsid w:val="00B7579F"/>
    <w:rsid w:val="00B766D1"/>
    <w:rsid w:val="00B76940"/>
    <w:rsid w:val="00B76F2B"/>
    <w:rsid w:val="00B8008C"/>
    <w:rsid w:val="00B800CB"/>
    <w:rsid w:val="00B8018F"/>
    <w:rsid w:val="00B80309"/>
    <w:rsid w:val="00B80C4E"/>
    <w:rsid w:val="00B81FAC"/>
    <w:rsid w:val="00B823B9"/>
    <w:rsid w:val="00B8308D"/>
    <w:rsid w:val="00B8398A"/>
    <w:rsid w:val="00B83C3B"/>
    <w:rsid w:val="00B85129"/>
    <w:rsid w:val="00B8545B"/>
    <w:rsid w:val="00B85761"/>
    <w:rsid w:val="00B85FFF"/>
    <w:rsid w:val="00B86141"/>
    <w:rsid w:val="00B863E8"/>
    <w:rsid w:val="00B86C21"/>
    <w:rsid w:val="00B86F74"/>
    <w:rsid w:val="00B87BB8"/>
    <w:rsid w:val="00B87C5A"/>
    <w:rsid w:val="00B908F8"/>
    <w:rsid w:val="00B9094B"/>
    <w:rsid w:val="00B9094F"/>
    <w:rsid w:val="00B909F6"/>
    <w:rsid w:val="00B90CF7"/>
    <w:rsid w:val="00B90F47"/>
    <w:rsid w:val="00B91117"/>
    <w:rsid w:val="00B911B8"/>
    <w:rsid w:val="00B91254"/>
    <w:rsid w:val="00B917B1"/>
    <w:rsid w:val="00B9188A"/>
    <w:rsid w:val="00B91B4C"/>
    <w:rsid w:val="00B91CEE"/>
    <w:rsid w:val="00B92D28"/>
    <w:rsid w:val="00B92FCE"/>
    <w:rsid w:val="00B9381C"/>
    <w:rsid w:val="00B939E4"/>
    <w:rsid w:val="00B93AE6"/>
    <w:rsid w:val="00B94993"/>
    <w:rsid w:val="00B94BB3"/>
    <w:rsid w:val="00B94E17"/>
    <w:rsid w:val="00B950FD"/>
    <w:rsid w:val="00B95462"/>
    <w:rsid w:val="00B9581F"/>
    <w:rsid w:val="00B95E1D"/>
    <w:rsid w:val="00B96264"/>
    <w:rsid w:val="00B97889"/>
    <w:rsid w:val="00BA0920"/>
    <w:rsid w:val="00BA0A95"/>
    <w:rsid w:val="00BA0B91"/>
    <w:rsid w:val="00BA1CBD"/>
    <w:rsid w:val="00BA28D9"/>
    <w:rsid w:val="00BA295F"/>
    <w:rsid w:val="00BA325D"/>
    <w:rsid w:val="00BA3FA9"/>
    <w:rsid w:val="00BA423B"/>
    <w:rsid w:val="00BA46BF"/>
    <w:rsid w:val="00BA4E4F"/>
    <w:rsid w:val="00BA4FCA"/>
    <w:rsid w:val="00BA4FDE"/>
    <w:rsid w:val="00BA52B4"/>
    <w:rsid w:val="00BA5C22"/>
    <w:rsid w:val="00BA5DDF"/>
    <w:rsid w:val="00BA60D0"/>
    <w:rsid w:val="00BA6254"/>
    <w:rsid w:val="00BA6295"/>
    <w:rsid w:val="00BA64ED"/>
    <w:rsid w:val="00BA72C4"/>
    <w:rsid w:val="00BB0467"/>
    <w:rsid w:val="00BB0507"/>
    <w:rsid w:val="00BB07AE"/>
    <w:rsid w:val="00BB094D"/>
    <w:rsid w:val="00BB0A8F"/>
    <w:rsid w:val="00BB137A"/>
    <w:rsid w:val="00BB24A1"/>
    <w:rsid w:val="00BB27D1"/>
    <w:rsid w:val="00BB3B31"/>
    <w:rsid w:val="00BB3EB1"/>
    <w:rsid w:val="00BB3ED5"/>
    <w:rsid w:val="00BB4021"/>
    <w:rsid w:val="00BB450D"/>
    <w:rsid w:val="00BB47F8"/>
    <w:rsid w:val="00BB4E74"/>
    <w:rsid w:val="00BB6EA2"/>
    <w:rsid w:val="00BB6FEF"/>
    <w:rsid w:val="00BB7127"/>
    <w:rsid w:val="00BB7412"/>
    <w:rsid w:val="00BB7BE9"/>
    <w:rsid w:val="00BB7CAB"/>
    <w:rsid w:val="00BC07BE"/>
    <w:rsid w:val="00BC11AE"/>
    <w:rsid w:val="00BC16D8"/>
    <w:rsid w:val="00BC1CEB"/>
    <w:rsid w:val="00BC1D66"/>
    <w:rsid w:val="00BC20D1"/>
    <w:rsid w:val="00BC21B7"/>
    <w:rsid w:val="00BC2878"/>
    <w:rsid w:val="00BC2C4A"/>
    <w:rsid w:val="00BC3573"/>
    <w:rsid w:val="00BC493E"/>
    <w:rsid w:val="00BC4E11"/>
    <w:rsid w:val="00BC503E"/>
    <w:rsid w:val="00BC5564"/>
    <w:rsid w:val="00BC56F6"/>
    <w:rsid w:val="00BC5E74"/>
    <w:rsid w:val="00BC629F"/>
    <w:rsid w:val="00BC7B27"/>
    <w:rsid w:val="00BD0020"/>
    <w:rsid w:val="00BD00E8"/>
    <w:rsid w:val="00BD0423"/>
    <w:rsid w:val="00BD0901"/>
    <w:rsid w:val="00BD10D7"/>
    <w:rsid w:val="00BD13C8"/>
    <w:rsid w:val="00BD1B1F"/>
    <w:rsid w:val="00BD1D3D"/>
    <w:rsid w:val="00BD22AE"/>
    <w:rsid w:val="00BD28CA"/>
    <w:rsid w:val="00BD29B1"/>
    <w:rsid w:val="00BD3082"/>
    <w:rsid w:val="00BD310F"/>
    <w:rsid w:val="00BD3FF7"/>
    <w:rsid w:val="00BD45EB"/>
    <w:rsid w:val="00BD47F9"/>
    <w:rsid w:val="00BD52FB"/>
    <w:rsid w:val="00BD54A9"/>
    <w:rsid w:val="00BD5BEA"/>
    <w:rsid w:val="00BD5CB6"/>
    <w:rsid w:val="00BD6645"/>
    <w:rsid w:val="00BD6FD8"/>
    <w:rsid w:val="00BD6FFA"/>
    <w:rsid w:val="00BD7316"/>
    <w:rsid w:val="00BD7BD3"/>
    <w:rsid w:val="00BD7EBB"/>
    <w:rsid w:val="00BE033E"/>
    <w:rsid w:val="00BE06A3"/>
    <w:rsid w:val="00BE0730"/>
    <w:rsid w:val="00BE0B8D"/>
    <w:rsid w:val="00BE0BCC"/>
    <w:rsid w:val="00BE0F79"/>
    <w:rsid w:val="00BE105D"/>
    <w:rsid w:val="00BE129A"/>
    <w:rsid w:val="00BE169E"/>
    <w:rsid w:val="00BE22A5"/>
    <w:rsid w:val="00BE2BD9"/>
    <w:rsid w:val="00BE36CA"/>
    <w:rsid w:val="00BE3AE1"/>
    <w:rsid w:val="00BE3CFA"/>
    <w:rsid w:val="00BE3E92"/>
    <w:rsid w:val="00BE4504"/>
    <w:rsid w:val="00BE46B4"/>
    <w:rsid w:val="00BE4BBA"/>
    <w:rsid w:val="00BE4CD4"/>
    <w:rsid w:val="00BE5E96"/>
    <w:rsid w:val="00BE5FC6"/>
    <w:rsid w:val="00BE5FCD"/>
    <w:rsid w:val="00BE7868"/>
    <w:rsid w:val="00BF05C7"/>
    <w:rsid w:val="00BF06AA"/>
    <w:rsid w:val="00BF0ECC"/>
    <w:rsid w:val="00BF199D"/>
    <w:rsid w:val="00BF28B3"/>
    <w:rsid w:val="00BF2E72"/>
    <w:rsid w:val="00BF363C"/>
    <w:rsid w:val="00BF3658"/>
    <w:rsid w:val="00BF3830"/>
    <w:rsid w:val="00BF429F"/>
    <w:rsid w:val="00BF48EF"/>
    <w:rsid w:val="00BF4976"/>
    <w:rsid w:val="00BF5C6F"/>
    <w:rsid w:val="00BF5E1B"/>
    <w:rsid w:val="00BF6320"/>
    <w:rsid w:val="00BF639A"/>
    <w:rsid w:val="00BF658A"/>
    <w:rsid w:val="00BF68A0"/>
    <w:rsid w:val="00BF6A3B"/>
    <w:rsid w:val="00BF6A5D"/>
    <w:rsid w:val="00BF6B2E"/>
    <w:rsid w:val="00BF754F"/>
    <w:rsid w:val="00BF7630"/>
    <w:rsid w:val="00BF7E9B"/>
    <w:rsid w:val="00BF7EB9"/>
    <w:rsid w:val="00C00082"/>
    <w:rsid w:val="00C00CF4"/>
    <w:rsid w:val="00C01DA0"/>
    <w:rsid w:val="00C02C92"/>
    <w:rsid w:val="00C02EEA"/>
    <w:rsid w:val="00C03B24"/>
    <w:rsid w:val="00C053E9"/>
    <w:rsid w:val="00C059BB"/>
    <w:rsid w:val="00C06CFB"/>
    <w:rsid w:val="00C072E4"/>
    <w:rsid w:val="00C07BF0"/>
    <w:rsid w:val="00C07FCC"/>
    <w:rsid w:val="00C10083"/>
    <w:rsid w:val="00C102C4"/>
    <w:rsid w:val="00C107E8"/>
    <w:rsid w:val="00C112AF"/>
    <w:rsid w:val="00C11C01"/>
    <w:rsid w:val="00C12990"/>
    <w:rsid w:val="00C12A0B"/>
    <w:rsid w:val="00C1306C"/>
    <w:rsid w:val="00C1380B"/>
    <w:rsid w:val="00C139E9"/>
    <w:rsid w:val="00C13B77"/>
    <w:rsid w:val="00C1454E"/>
    <w:rsid w:val="00C14D8C"/>
    <w:rsid w:val="00C15269"/>
    <w:rsid w:val="00C1619A"/>
    <w:rsid w:val="00C161C7"/>
    <w:rsid w:val="00C16578"/>
    <w:rsid w:val="00C16C78"/>
    <w:rsid w:val="00C16D59"/>
    <w:rsid w:val="00C17324"/>
    <w:rsid w:val="00C178BA"/>
    <w:rsid w:val="00C20132"/>
    <w:rsid w:val="00C2056C"/>
    <w:rsid w:val="00C20CCF"/>
    <w:rsid w:val="00C20D6A"/>
    <w:rsid w:val="00C21998"/>
    <w:rsid w:val="00C224C3"/>
    <w:rsid w:val="00C22E37"/>
    <w:rsid w:val="00C2307D"/>
    <w:rsid w:val="00C2344A"/>
    <w:rsid w:val="00C23E41"/>
    <w:rsid w:val="00C24375"/>
    <w:rsid w:val="00C24DF0"/>
    <w:rsid w:val="00C25444"/>
    <w:rsid w:val="00C25E51"/>
    <w:rsid w:val="00C26BAE"/>
    <w:rsid w:val="00C26C3A"/>
    <w:rsid w:val="00C2711F"/>
    <w:rsid w:val="00C2755F"/>
    <w:rsid w:val="00C30049"/>
    <w:rsid w:val="00C308E2"/>
    <w:rsid w:val="00C30AB9"/>
    <w:rsid w:val="00C30C90"/>
    <w:rsid w:val="00C30E0F"/>
    <w:rsid w:val="00C31282"/>
    <w:rsid w:val="00C3141F"/>
    <w:rsid w:val="00C32620"/>
    <w:rsid w:val="00C326F5"/>
    <w:rsid w:val="00C327AB"/>
    <w:rsid w:val="00C32EF8"/>
    <w:rsid w:val="00C33095"/>
    <w:rsid w:val="00C33332"/>
    <w:rsid w:val="00C346D8"/>
    <w:rsid w:val="00C34EF1"/>
    <w:rsid w:val="00C3592C"/>
    <w:rsid w:val="00C367E6"/>
    <w:rsid w:val="00C36AEC"/>
    <w:rsid w:val="00C377AB"/>
    <w:rsid w:val="00C37B16"/>
    <w:rsid w:val="00C400B9"/>
    <w:rsid w:val="00C40C0A"/>
    <w:rsid w:val="00C41890"/>
    <w:rsid w:val="00C41E56"/>
    <w:rsid w:val="00C42247"/>
    <w:rsid w:val="00C43388"/>
    <w:rsid w:val="00C440C0"/>
    <w:rsid w:val="00C45340"/>
    <w:rsid w:val="00C457E1"/>
    <w:rsid w:val="00C466AC"/>
    <w:rsid w:val="00C46BD0"/>
    <w:rsid w:val="00C4752D"/>
    <w:rsid w:val="00C50CDD"/>
    <w:rsid w:val="00C50F88"/>
    <w:rsid w:val="00C512D1"/>
    <w:rsid w:val="00C515A7"/>
    <w:rsid w:val="00C51856"/>
    <w:rsid w:val="00C5259E"/>
    <w:rsid w:val="00C526AD"/>
    <w:rsid w:val="00C526AE"/>
    <w:rsid w:val="00C52DD1"/>
    <w:rsid w:val="00C52F10"/>
    <w:rsid w:val="00C5301F"/>
    <w:rsid w:val="00C5321E"/>
    <w:rsid w:val="00C5435B"/>
    <w:rsid w:val="00C5522A"/>
    <w:rsid w:val="00C5524D"/>
    <w:rsid w:val="00C55D0B"/>
    <w:rsid w:val="00C56A18"/>
    <w:rsid w:val="00C56B58"/>
    <w:rsid w:val="00C56D53"/>
    <w:rsid w:val="00C57207"/>
    <w:rsid w:val="00C57279"/>
    <w:rsid w:val="00C57A2C"/>
    <w:rsid w:val="00C57D8E"/>
    <w:rsid w:val="00C60104"/>
    <w:rsid w:val="00C6046E"/>
    <w:rsid w:val="00C604C7"/>
    <w:rsid w:val="00C607F6"/>
    <w:rsid w:val="00C60940"/>
    <w:rsid w:val="00C60F73"/>
    <w:rsid w:val="00C6122F"/>
    <w:rsid w:val="00C61623"/>
    <w:rsid w:val="00C619F8"/>
    <w:rsid w:val="00C61A35"/>
    <w:rsid w:val="00C6241F"/>
    <w:rsid w:val="00C62697"/>
    <w:rsid w:val="00C6293D"/>
    <w:rsid w:val="00C637E9"/>
    <w:rsid w:val="00C63C86"/>
    <w:rsid w:val="00C64075"/>
    <w:rsid w:val="00C6443B"/>
    <w:rsid w:val="00C64595"/>
    <w:rsid w:val="00C64CCF"/>
    <w:rsid w:val="00C652D1"/>
    <w:rsid w:val="00C65661"/>
    <w:rsid w:val="00C658EF"/>
    <w:rsid w:val="00C65A84"/>
    <w:rsid w:val="00C65E95"/>
    <w:rsid w:val="00C66D0A"/>
    <w:rsid w:val="00C66D1E"/>
    <w:rsid w:val="00C67787"/>
    <w:rsid w:val="00C67E81"/>
    <w:rsid w:val="00C70783"/>
    <w:rsid w:val="00C70A2D"/>
    <w:rsid w:val="00C70B21"/>
    <w:rsid w:val="00C70B85"/>
    <w:rsid w:val="00C71B2E"/>
    <w:rsid w:val="00C72DF8"/>
    <w:rsid w:val="00C730C2"/>
    <w:rsid w:val="00C73334"/>
    <w:rsid w:val="00C733A1"/>
    <w:rsid w:val="00C7344E"/>
    <w:rsid w:val="00C73ABF"/>
    <w:rsid w:val="00C741B2"/>
    <w:rsid w:val="00C741EA"/>
    <w:rsid w:val="00C74688"/>
    <w:rsid w:val="00C7540B"/>
    <w:rsid w:val="00C754D6"/>
    <w:rsid w:val="00C75506"/>
    <w:rsid w:val="00C75800"/>
    <w:rsid w:val="00C758DB"/>
    <w:rsid w:val="00C75D50"/>
    <w:rsid w:val="00C75F65"/>
    <w:rsid w:val="00C76422"/>
    <w:rsid w:val="00C7669A"/>
    <w:rsid w:val="00C76876"/>
    <w:rsid w:val="00C7726B"/>
    <w:rsid w:val="00C77285"/>
    <w:rsid w:val="00C77392"/>
    <w:rsid w:val="00C777E5"/>
    <w:rsid w:val="00C778E1"/>
    <w:rsid w:val="00C77AEA"/>
    <w:rsid w:val="00C80058"/>
    <w:rsid w:val="00C801D9"/>
    <w:rsid w:val="00C803B3"/>
    <w:rsid w:val="00C807F0"/>
    <w:rsid w:val="00C80A7A"/>
    <w:rsid w:val="00C80DB9"/>
    <w:rsid w:val="00C81014"/>
    <w:rsid w:val="00C817D5"/>
    <w:rsid w:val="00C818AD"/>
    <w:rsid w:val="00C81D2C"/>
    <w:rsid w:val="00C81E49"/>
    <w:rsid w:val="00C81F61"/>
    <w:rsid w:val="00C82703"/>
    <w:rsid w:val="00C82768"/>
    <w:rsid w:val="00C82AB3"/>
    <w:rsid w:val="00C82B6B"/>
    <w:rsid w:val="00C82DBC"/>
    <w:rsid w:val="00C82F8D"/>
    <w:rsid w:val="00C83098"/>
    <w:rsid w:val="00C83A19"/>
    <w:rsid w:val="00C843B0"/>
    <w:rsid w:val="00C847E1"/>
    <w:rsid w:val="00C84A5B"/>
    <w:rsid w:val="00C85AF8"/>
    <w:rsid w:val="00C85B0C"/>
    <w:rsid w:val="00C85D6D"/>
    <w:rsid w:val="00C85F4D"/>
    <w:rsid w:val="00C86947"/>
    <w:rsid w:val="00C8712B"/>
    <w:rsid w:val="00C87ED0"/>
    <w:rsid w:val="00C90A39"/>
    <w:rsid w:val="00C90B34"/>
    <w:rsid w:val="00C90E0B"/>
    <w:rsid w:val="00C91096"/>
    <w:rsid w:val="00C91B01"/>
    <w:rsid w:val="00C91D3C"/>
    <w:rsid w:val="00C927E1"/>
    <w:rsid w:val="00C93664"/>
    <w:rsid w:val="00C939FB"/>
    <w:rsid w:val="00C93FE1"/>
    <w:rsid w:val="00C94A60"/>
    <w:rsid w:val="00C94AA9"/>
    <w:rsid w:val="00C94F59"/>
    <w:rsid w:val="00C956DC"/>
    <w:rsid w:val="00C9598B"/>
    <w:rsid w:val="00C959AB"/>
    <w:rsid w:val="00C95A3B"/>
    <w:rsid w:val="00C961B0"/>
    <w:rsid w:val="00C969D7"/>
    <w:rsid w:val="00C96CC4"/>
    <w:rsid w:val="00C96CCB"/>
    <w:rsid w:val="00C9700B"/>
    <w:rsid w:val="00C9799D"/>
    <w:rsid w:val="00C97A57"/>
    <w:rsid w:val="00CA02D2"/>
    <w:rsid w:val="00CA04F9"/>
    <w:rsid w:val="00CA0CAE"/>
    <w:rsid w:val="00CA1036"/>
    <w:rsid w:val="00CA1827"/>
    <w:rsid w:val="00CA1D29"/>
    <w:rsid w:val="00CA253B"/>
    <w:rsid w:val="00CA27ED"/>
    <w:rsid w:val="00CA2F91"/>
    <w:rsid w:val="00CA3188"/>
    <w:rsid w:val="00CA342D"/>
    <w:rsid w:val="00CA3BC3"/>
    <w:rsid w:val="00CA4499"/>
    <w:rsid w:val="00CA4A92"/>
    <w:rsid w:val="00CA4CD5"/>
    <w:rsid w:val="00CA565C"/>
    <w:rsid w:val="00CA571F"/>
    <w:rsid w:val="00CA6C7B"/>
    <w:rsid w:val="00CA72FC"/>
    <w:rsid w:val="00CA73B7"/>
    <w:rsid w:val="00CB052A"/>
    <w:rsid w:val="00CB098D"/>
    <w:rsid w:val="00CB0DA0"/>
    <w:rsid w:val="00CB10F0"/>
    <w:rsid w:val="00CB18FA"/>
    <w:rsid w:val="00CB2762"/>
    <w:rsid w:val="00CB2B2E"/>
    <w:rsid w:val="00CB319F"/>
    <w:rsid w:val="00CB333F"/>
    <w:rsid w:val="00CB4071"/>
    <w:rsid w:val="00CB45E0"/>
    <w:rsid w:val="00CB4D3A"/>
    <w:rsid w:val="00CB59E5"/>
    <w:rsid w:val="00CB6597"/>
    <w:rsid w:val="00CB6FE8"/>
    <w:rsid w:val="00CB7183"/>
    <w:rsid w:val="00CB7D0C"/>
    <w:rsid w:val="00CC00E9"/>
    <w:rsid w:val="00CC0A07"/>
    <w:rsid w:val="00CC0DBC"/>
    <w:rsid w:val="00CC12D1"/>
    <w:rsid w:val="00CC173D"/>
    <w:rsid w:val="00CC19B0"/>
    <w:rsid w:val="00CC1B6F"/>
    <w:rsid w:val="00CC1E7C"/>
    <w:rsid w:val="00CC20B2"/>
    <w:rsid w:val="00CC298E"/>
    <w:rsid w:val="00CC2EA6"/>
    <w:rsid w:val="00CC314D"/>
    <w:rsid w:val="00CC3460"/>
    <w:rsid w:val="00CC42A8"/>
    <w:rsid w:val="00CC4837"/>
    <w:rsid w:val="00CC4F84"/>
    <w:rsid w:val="00CC5040"/>
    <w:rsid w:val="00CC5B2C"/>
    <w:rsid w:val="00CC67B1"/>
    <w:rsid w:val="00CC7235"/>
    <w:rsid w:val="00CC7AA5"/>
    <w:rsid w:val="00CD0553"/>
    <w:rsid w:val="00CD0845"/>
    <w:rsid w:val="00CD1A34"/>
    <w:rsid w:val="00CD1BC9"/>
    <w:rsid w:val="00CD201B"/>
    <w:rsid w:val="00CD44B9"/>
    <w:rsid w:val="00CD4B52"/>
    <w:rsid w:val="00CD50CD"/>
    <w:rsid w:val="00CD50E4"/>
    <w:rsid w:val="00CD5BD9"/>
    <w:rsid w:val="00CD6F19"/>
    <w:rsid w:val="00CD77B2"/>
    <w:rsid w:val="00CE0ACD"/>
    <w:rsid w:val="00CE1495"/>
    <w:rsid w:val="00CE1A0E"/>
    <w:rsid w:val="00CE24D9"/>
    <w:rsid w:val="00CE2815"/>
    <w:rsid w:val="00CE299F"/>
    <w:rsid w:val="00CE2CEB"/>
    <w:rsid w:val="00CE323F"/>
    <w:rsid w:val="00CE33DD"/>
    <w:rsid w:val="00CE376F"/>
    <w:rsid w:val="00CE39CE"/>
    <w:rsid w:val="00CE466D"/>
    <w:rsid w:val="00CE4996"/>
    <w:rsid w:val="00CE4AD2"/>
    <w:rsid w:val="00CE4C58"/>
    <w:rsid w:val="00CE52F9"/>
    <w:rsid w:val="00CE548C"/>
    <w:rsid w:val="00CE5D47"/>
    <w:rsid w:val="00CE5F0D"/>
    <w:rsid w:val="00CE6D32"/>
    <w:rsid w:val="00CE769F"/>
    <w:rsid w:val="00CE788B"/>
    <w:rsid w:val="00CE7B2B"/>
    <w:rsid w:val="00CE7F46"/>
    <w:rsid w:val="00CF06AB"/>
    <w:rsid w:val="00CF0BC1"/>
    <w:rsid w:val="00CF0ED5"/>
    <w:rsid w:val="00CF0EDB"/>
    <w:rsid w:val="00CF1626"/>
    <w:rsid w:val="00CF1634"/>
    <w:rsid w:val="00CF1664"/>
    <w:rsid w:val="00CF18BE"/>
    <w:rsid w:val="00CF2C37"/>
    <w:rsid w:val="00CF2EAD"/>
    <w:rsid w:val="00CF36B6"/>
    <w:rsid w:val="00CF5163"/>
    <w:rsid w:val="00CF5239"/>
    <w:rsid w:val="00CF5492"/>
    <w:rsid w:val="00CF5BC1"/>
    <w:rsid w:val="00CF5C09"/>
    <w:rsid w:val="00CF66AA"/>
    <w:rsid w:val="00CF66E8"/>
    <w:rsid w:val="00CF6B91"/>
    <w:rsid w:val="00CF6C26"/>
    <w:rsid w:val="00CF7A99"/>
    <w:rsid w:val="00CF7E7F"/>
    <w:rsid w:val="00CF7EFC"/>
    <w:rsid w:val="00CF7F0F"/>
    <w:rsid w:val="00D00512"/>
    <w:rsid w:val="00D00663"/>
    <w:rsid w:val="00D01F9D"/>
    <w:rsid w:val="00D02318"/>
    <w:rsid w:val="00D0259E"/>
    <w:rsid w:val="00D03451"/>
    <w:rsid w:val="00D03762"/>
    <w:rsid w:val="00D04A9E"/>
    <w:rsid w:val="00D04C34"/>
    <w:rsid w:val="00D05B61"/>
    <w:rsid w:val="00D05F57"/>
    <w:rsid w:val="00D067A7"/>
    <w:rsid w:val="00D06E3B"/>
    <w:rsid w:val="00D07180"/>
    <w:rsid w:val="00D0744B"/>
    <w:rsid w:val="00D07A26"/>
    <w:rsid w:val="00D10533"/>
    <w:rsid w:val="00D107FE"/>
    <w:rsid w:val="00D10C05"/>
    <w:rsid w:val="00D10E18"/>
    <w:rsid w:val="00D113F3"/>
    <w:rsid w:val="00D1154D"/>
    <w:rsid w:val="00D11DB7"/>
    <w:rsid w:val="00D11E5B"/>
    <w:rsid w:val="00D11E8F"/>
    <w:rsid w:val="00D1221C"/>
    <w:rsid w:val="00D13C29"/>
    <w:rsid w:val="00D13D18"/>
    <w:rsid w:val="00D14111"/>
    <w:rsid w:val="00D1428C"/>
    <w:rsid w:val="00D14532"/>
    <w:rsid w:val="00D14571"/>
    <w:rsid w:val="00D14FC3"/>
    <w:rsid w:val="00D15350"/>
    <w:rsid w:val="00D153D3"/>
    <w:rsid w:val="00D15C60"/>
    <w:rsid w:val="00D1687F"/>
    <w:rsid w:val="00D201CA"/>
    <w:rsid w:val="00D2075D"/>
    <w:rsid w:val="00D20839"/>
    <w:rsid w:val="00D209AC"/>
    <w:rsid w:val="00D20ECB"/>
    <w:rsid w:val="00D2149E"/>
    <w:rsid w:val="00D217F2"/>
    <w:rsid w:val="00D22385"/>
    <w:rsid w:val="00D22802"/>
    <w:rsid w:val="00D22A27"/>
    <w:rsid w:val="00D22BBF"/>
    <w:rsid w:val="00D22C71"/>
    <w:rsid w:val="00D25AA2"/>
    <w:rsid w:val="00D26894"/>
    <w:rsid w:val="00D26BA3"/>
    <w:rsid w:val="00D26CD0"/>
    <w:rsid w:val="00D274BA"/>
    <w:rsid w:val="00D276C7"/>
    <w:rsid w:val="00D2789D"/>
    <w:rsid w:val="00D3008D"/>
    <w:rsid w:val="00D30586"/>
    <w:rsid w:val="00D308F4"/>
    <w:rsid w:val="00D30DF8"/>
    <w:rsid w:val="00D31191"/>
    <w:rsid w:val="00D314C0"/>
    <w:rsid w:val="00D31940"/>
    <w:rsid w:val="00D31AD6"/>
    <w:rsid w:val="00D31B80"/>
    <w:rsid w:val="00D3286A"/>
    <w:rsid w:val="00D32B09"/>
    <w:rsid w:val="00D33CBE"/>
    <w:rsid w:val="00D358CB"/>
    <w:rsid w:val="00D36082"/>
    <w:rsid w:val="00D360BA"/>
    <w:rsid w:val="00D36F41"/>
    <w:rsid w:val="00D37112"/>
    <w:rsid w:val="00D37220"/>
    <w:rsid w:val="00D3722E"/>
    <w:rsid w:val="00D4087A"/>
    <w:rsid w:val="00D40C1B"/>
    <w:rsid w:val="00D41E89"/>
    <w:rsid w:val="00D420D2"/>
    <w:rsid w:val="00D4211F"/>
    <w:rsid w:val="00D4271C"/>
    <w:rsid w:val="00D42AD6"/>
    <w:rsid w:val="00D4328A"/>
    <w:rsid w:val="00D43D5D"/>
    <w:rsid w:val="00D43EFC"/>
    <w:rsid w:val="00D43F1E"/>
    <w:rsid w:val="00D4413F"/>
    <w:rsid w:val="00D4443F"/>
    <w:rsid w:val="00D44EE9"/>
    <w:rsid w:val="00D455F0"/>
    <w:rsid w:val="00D46114"/>
    <w:rsid w:val="00D46466"/>
    <w:rsid w:val="00D46980"/>
    <w:rsid w:val="00D47906"/>
    <w:rsid w:val="00D502F6"/>
    <w:rsid w:val="00D503DE"/>
    <w:rsid w:val="00D50B0C"/>
    <w:rsid w:val="00D50C76"/>
    <w:rsid w:val="00D510A2"/>
    <w:rsid w:val="00D522B5"/>
    <w:rsid w:val="00D5299F"/>
    <w:rsid w:val="00D53553"/>
    <w:rsid w:val="00D53585"/>
    <w:rsid w:val="00D5367D"/>
    <w:rsid w:val="00D53690"/>
    <w:rsid w:val="00D536EC"/>
    <w:rsid w:val="00D53DAB"/>
    <w:rsid w:val="00D544FE"/>
    <w:rsid w:val="00D54C54"/>
    <w:rsid w:val="00D54E65"/>
    <w:rsid w:val="00D54FF1"/>
    <w:rsid w:val="00D5525D"/>
    <w:rsid w:val="00D55FEA"/>
    <w:rsid w:val="00D5640D"/>
    <w:rsid w:val="00D568B1"/>
    <w:rsid w:val="00D56E03"/>
    <w:rsid w:val="00D5740B"/>
    <w:rsid w:val="00D57A32"/>
    <w:rsid w:val="00D57B1C"/>
    <w:rsid w:val="00D6090D"/>
    <w:rsid w:val="00D61097"/>
    <w:rsid w:val="00D6139D"/>
    <w:rsid w:val="00D62AE0"/>
    <w:rsid w:val="00D6390F"/>
    <w:rsid w:val="00D63DE5"/>
    <w:rsid w:val="00D64719"/>
    <w:rsid w:val="00D64EE3"/>
    <w:rsid w:val="00D65DE6"/>
    <w:rsid w:val="00D66433"/>
    <w:rsid w:val="00D66778"/>
    <w:rsid w:val="00D66BA1"/>
    <w:rsid w:val="00D67249"/>
    <w:rsid w:val="00D67467"/>
    <w:rsid w:val="00D67A26"/>
    <w:rsid w:val="00D67C94"/>
    <w:rsid w:val="00D67E1B"/>
    <w:rsid w:val="00D70464"/>
    <w:rsid w:val="00D705EE"/>
    <w:rsid w:val="00D70802"/>
    <w:rsid w:val="00D70ACB"/>
    <w:rsid w:val="00D70CFC"/>
    <w:rsid w:val="00D70D07"/>
    <w:rsid w:val="00D7113E"/>
    <w:rsid w:val="00D711D8"/>
    <w:rsid w:val="00D71481"/>
    <w:rsid w:val="00D71C33"/>
    <w:rsid w:val="00D727AB"/>
    <w:rsid w:val="00D72F28"/>
    <w:rsid w:val="00D73452"/>
    <w:rsid w:val="00D73AD8"/>
    <w:rsid w:val="00D73ADD"/>
    <w:rsid w:val="00D745DD"/>
    <w:rsid w:val="00D749B8"/>
    <w:rsid w:val="00D74F9A"/>
    <w:rsid w:val="00D75551"/>
    <w:rsid w:val="00D75582"/>
    <w:rsid w:val="00D756DC"/>
    <w:rsid w:val="00D75D81"/>
    <w:rsid w:val="00D7627A"/>
    <w:rsid w:val="00D76C21"/>
    <w:rsid w:val="00D7701F"/>
    <w:rsid w:val="00D77940"/>
    <w:rsid w:val="00D80518"/>
    <w:rsid w:val="00D81B92"/>
    <w:rsid w:val="00D82E7E"/>
    <w:rsid w:val="00D83633"/>
    <w:rsid w:val="00D840B5"/>
    <w:rsid w:val="00D8588B"/>
    <w:rsid w:val="00D86280"/>
    <w:rsid w:val="00D86BA3"/>
    <w:rsid w:val="00D86CC9"/>
    <w:rsid w:val="00D8703B"/>
    <w:rsid w:val="00D8709F"/>
    <w:rsid w:val="00D876CC"/>
    <w:rsid w:val="00D87857"/>
    <w:rsid w:val="00D8798A"/>
    <w:rsid w:val="00D87D60"/>
    <w:rsid w:val="00D87FBD"/>
    <w:rsid w:val="00D905F5"/>
    <w:rsid w:val="00D90C62"/>
    <w:rsid w:val="00D912ED"/>
    <w:rsid w:val="00D91ABD"/>
    <w:rsid w:val="00D92A21"/>
    <w:rsid w:val="00D92A31"/>
    <w:rsid w:val="00D92E52"/>
    <w:rsid w:val="00D92F1A"/>
    <w:rsid w:val="00D92FE1"/>
    <w:rsid w:val="00D94054"/>
    <w:rsid w:val="00D941C3"/>
    <w:rsid w:val="00D945AD"/>
    <w:rsid w:val="00D94662"/>
    <w:rsid w:val="00D94C09"/>
    <w:rsid w:val="00D9584E"/>
    <w:rsid w:val="00D965D1"/>
    <w:rsid w:val="00D965EB"/>
    <w:rsid w:val="00D96EEF"/>
    <w:rsid w:val="00D97118"/>
    <w:rsid w:val="00D971C0"/>
    <w:rsid w:val="00D97200"/>
    <w:rsid w:val="00D97D23"/>
    <w:rsid w:val="00DA043A"/>
    <w:rsid w:val="00DA0981"/>
    <w:rsid w:val="00DA0D21"/>
    <w:rsid w:val="00DA0DD3"/>
    <w:rsid w:val="00DA10C2"/>
    <w:rsid w:val="00DA12E8"/>
    <w:rsid w:val="00DA191E"/>
    <w:rsid w:val="00DA1B9B"/>
    <w:rsid w:val="00DA2363"/>
    <w:rsid w:val="00DA2571"/>
    <w:rsid w:val="00DA26F6"/>
    <w:rsid w:val="00DA26F9"/>
    <w:rsid w:val="00DA2843"/>
    <w:rsid w:val="00DA3224"/>
    <w:rsid w:val="00DA3A23"/>
    <w:rsid w:val="00DA3D7C"/>
    <w:rsid w:val="00DA40FA"/>
    <w:rsid w:val="00DA4AAD"/>
    <w:rsid w:val="00DA5247"/>
    <w:rsid w:val="00DA5914"/>
    <w:rsid w:val="00DA592C"/>
    <w:rsid w:val="00DA66BD"/>
    <w:rsid w:val="00DA691C"/>
    <w:rsid w:val="00DA6937"/>
    <w:rsid w:val="00DA6CBE"/>
    <w:rsid w:val="00DA6CEC"/>
    <w:rsid w:val="00DA6F92"/>
    <w:rsid w:val="00DA71F6"/>
    <w:rsid w:val="00DA7651"/>
    <w:rsid w:val="00DA7742"/>
    <w:rsid w:val="00DA778C"/>
    <w:rsid w:val="00DB0202"/>
    <w:rsid w:val="00DB09E0"/>
    <w:rsid w:val="00DB1274"/>
    <w:rsid w:val="00DB1AA1"/>
    <w:rsid w:val="00DB2CA9"/>
    <w:rsid w:val="00DB3077"/>
    <w:rsid w:val="00DB3563"/>
    <w:rsid w:val="00DB4368"/>
    <w:rsid w:val="00DB46E5"/>
    <w:rsid w:val="00DB4AB4"/>
    <w:rsid w:val="00DB4CA0"/>
    <w:rsid w:val="00DB626A"/>
    <w:rsid w:val="00DB629D"/>
    <w:rsid w:val="00DB62CA"/>
    <w:rsid w:val="00DB6A42"/>
    <w:rsid w:val="00DB6F42"/>
    <w:rsid w:val="00DB72E7"/>
    <w:rsid w:val="00DB7520"/>
    <w:rsid w:val="00DB765B"/>
    <w:rsid w:val="00DB7741"/>
    <w:rsid w:val="00DC01FF"/>
    <w:rsid w:val="00DC0940"/>
    <w:rsid w:val="00DC0D41"/>
    <w:rsid w:val="00DC0D50"/>
    <w:rsid w:val="00DC188B"/>
    <w:rsid w:val="00DC2EDE"/>
    <w:rsid w:val="00DC2FB6"/>
    <w:rsid w:val="00DC3103"/>
    <w:rsid w:val="00DC35DE"/>
    <w:rsid w:val="00DC3ACA"/>
    <w:rsid w:val="00DC3D0F"/>
    <w:rsid w:val="00DC4A9A"/>
    <w:rsid w:val="00DC4FB2"/>
    <w:rsid w:val="00DC51FC"/>
    <w:rsid w:val="00DC5A71"/>
    <w:rsid w:val="00DC5BC8"/>
    <w:rsid w:val="00DC6BF9"/>
    <w:rsid w:val="00DC6DF6"/>
    <w:rsid w:val="00DC7B19"/>
    <w:rsid w:val="00DC7EA4"/>
    <w:rsid w:val="00DD03A1"/>
    <w:rsid w:val="00DD0692"/>
    <w:rsid w:val="00DD0717"/>
    <w:rsid w:val="00DD0CD4"/>
    <w:rsid w:val="00DD0F24"/>
    <w:rsid w:val="00DD15F1"/>
    <w:rsid w:val="00DD1CCE"/>
    <w:rsid w:val="00DD208C"/>
    <w:rsid w:val="00DD2BDE"/>
    <w:rsid w:val="00DD2E2E"/>
    <w:rsid w:val="00DD3AB1"/>
    <w:rsid w:val="00DD42A7"/>
    <w:rsid w:val="00DD4CB8"/>
    <w:rsid w:val="00DD50B1"/>
    <w:rsid w:val="00DD59F2"/>
    <w:rsid w:val="00DD5D85"/>
    <w:rsid w:val="00DD5F6D"/>
    <w:rsid w:val="00DD63D5"/>
    <w:rsid w:val="00DD675F"/>
    <w:rsid w:val="00DD769E"/>
    <w:rsid w:val="00DE008C"/>
    <w:rsid w:val="00DE0620"/>
    <w:rsid w:val="00DE0965"/>
    <w:rsid w:val="00DE0D36"/>
    <w:rsid w:val="00DE0D50"/>
    <w:rsid w:val="00DE12E0"/>
    <w:rsid w:val="00DE1DA9"/>
    <w:rsid w:val="00DE246F"/>
    <w:rsid w:val="00DE257D"/>
    <w:rsid w:val="00DE2B8D"/>
    <w:rsid w:val="00DE30C7"/>
    <w:rsid w:val="00DE3535"/>
    <w:rsid w:val="00DE477E"/>
    <w:rsid w:val="00DE54CD"/>
    <w:rsid w:val="00DE5C23"/>
    <w:rsid w:val="00DE5FDA"/>
    <w:rsid w:val="00DE61D7"/>
    <w:rsid w:val="00DE6425"/>
    <w:rsid w:val="00DE646A"/>
    <w:rsid w:val="00DE6822"/>
    <w:rsid w:val="00DE6B94"/>
    <w:rsid w:val="00DE6C21"/>
    <w:rsid w:val="00DE6F27"/>
    <w:rsid w:val="00DE7154"/>
    <w:rsid w:val="00DF01BA"/>
    <w:rsid w:val="00DF114E"/>
    <w:rsid w:val="00DF1289"/>
    <w:rsid w:val="00DF139F"/>
    <w:rsid w:val="00DF14CC"/>
    <w:rsid w:val="00DF17D9"/>
    <w:rsid w:val="00DF1C61"/>
    <w:rsid w:val="00DF23CA"/>
    <w:rsid w:val="00DF2739"/>
    <w:rsid w:val="00DF30DE"/>
    <w:rsid w:val="00DF330E"/>
    <w:rsid w:val="00DF49AC"/>
    <w:rsid w:val="00DF4A90"/>
    <w:rsid w:val="00DF4CA7"/>
    <w:rsid w:val="00DF56F7"/>
    <w:rsid w:val="00DF5B9A"/>
    <w:rsid w:val="00DF5D29"/>
    <w:rsid w:val="00DF6050"/>
    <w:rsid w:val="00DF61F6"/>
    <w:rsid w:val="00DF64E6"/>
    <w:rsid w:val="00DF654B"/>
    <w:rsid w:val="00DF6E44"/>
    <w:rsid w:val="00DF7E48"/>
    <w:rsid w:val="00E0005E"/>
    <w:rsid w:val="00E001A6"/>
    <w:rsid w:val="00E001D8"/>
    <w:rsid w:val="00E00454"/>
    <w:rsid w:val="00E005B3"/>
    <w:rsid w:val="00E00810"/>
    <w:rsid w:val="00E01C7A"/>
    <w:rsid w:val="00E02DFC"/>
    <w:rsid w:val="00E0344F"/>
    <w:rsid w:val="00E03576"/>
    <w:rsid w:val="00E03694"/>
    <w:rsid w:val="00E03928"/>
    <w:rsid w:val="00E0403D"/>
    <w:rsid w:val="00E045D6"/>
    <w:rsid w:val="00E0480D"/>
    <w:rsid w:val="00E04A34"/>
    <w:rsid w:val="00E04D04"/>
    <w:rsid w:val="00E0511A"/>
    <w:rsid w:val="00E05BCE"/>
    <w:rsid w:val="00E0628A"/>
    <w:rsid w:val="00E0641C"/>
    <w:rsid w:val="00E0664A"/>
    <w:rsid w:val="00E0675E"/>
    <w:rsid w:val="00E0718B"/>
    <w:rsid w:val="00E07AEC"/>
    <w:rsid w:val="00E07B74"/>
    <w:rsid w:val="00E07D2B"/>
    <w:rsid w:val="00E07DD7"/>
    <w:rsid w:val="00E11CE1"/>
    <w:rsid w:val="00E11CF5"/>
    <w:rsid w:val="00E11EE8"/>
    <w:rsid w:val="00E123B6"/>
    <w:rsid w:val="00E1241F"/>
    <w:rsid w:val="00E125B4"/>
    <w:rsid w:val="00E128D0"/>
    <w:rsid w:val="00E13148"/>
    <w:rsid w:val="00E140F2"/>
    <w:rsid w:val="00E144DC"/>
    <w:rsid w:val="00E14592"/>
    <w:rsid w:val="00E14857"/>
    <w:rsid w:val="00E162DD"/>
    <w:rsid w:val="00E164B8"/>
    <w:rsid w:val="00E17147"/>
    <w:rsid w:val="00E174FF"/>
    <w:rsid w:val="00E17965"/>
    <w:rsid w:val="00E17B84"/>
    <w:rsid w:val="00E17CA4"/>
    <w:rsid w:val="00E20D65"/>
    <w:rsid w:val="00E21135"/>
    <w:rsid w:val="00E21C0F"/>
    <w:rsid w:val="00E21FD5"/>
    <w:rsid w:val="00E226AA"/>
    <w:rsid w:val="00E229F3"/>
    <w:rsid w:val="00E22BF9"/>
    <w:rsid w:val="00E23928"/>
    <w:rsid w:val="00E2399F"/>
    <w:rsid w:val="00E249D0"/>
    <w:rsid w:val="00E24C5F"/>
    <w:rsid w:val="00E252E3"/>
    <w:rsid w:val="00E25387"/>
    <w:rsid w:val="00E255F9"/>
    <w:rsid w:val="00E2567F"/>
    <w:rsid w:val="00E25A01"/>
    <w:rsid w:val="00E25F5C"/>
    <w:rsid w:val="00E26357"/>
    <w:rsid w:val="00E26E7E"/>
    <w:rsid w:val="00E273CC"/>
    <w:rsid w:val="00E273F1"/>
    <w:rsid w:val="00E27730"/>
    <w:rsid w:val="00E3080F"/>
    <w:rsid w:val="00E30CA4"/>
    <w:rsid w:val="00E30F78"/>
    <w:rsid w:val="00E315D1"/>
    <w:rsid w:val="00E324A8"/>
    <w:rsid w:val="00E3326E"/>
    <w:rsid w:val="00E33AB7"/>
    <w:rsid w:val="00E33CCD"/>
    <w:rsid w:val="00E34A7F"/>
    <w:rsid w:val="00E34FA0"/>
    <w:rsid w:val="00E35B67"/>
    <w:rsid w:val="00E35D70"/>
    <w:rsid w:val="00E37106"/>
    <w:rsid w:val="00E375A4"/>
    <w:rsid w:val="00E40234"/>
    <w:rsid w:val="00E40598"/>
    <w:rsid w:val="00E4069C"/>
    <w:rsid w:val="00E40731"/>
    <w:rsid w:val="00E4074F"/>
    <w:rsid w:val="00E4110D"/>
    <w:rsid w:val="00E422C1"/>
    <w:rsid w:val="00E428CE"/>
    <w:rsid w:val="00E42967"/>
    <w:rsid w:val="00E43E5B"/>
    <w:rsid w:val="00E44085"/>
    <w:rsid w:val="00E4456D"/>
    <w:rsid w:val="00E44BA5"/>
    <w:rsid w:val="00E44D94"/>
    <w:rsid w:val="00E45611"/>
    <w:rsid w:val="00E45692"/>
    <w:rsid w:val="00E45AD0"/>
    <w:rsid w:val="00E45DCE"/>
    <w:rsid w:val="00E46598"/>
    <w:rsid w:val="00E46E44"/>
    <w:rsid w:val="00E470E3"/>
    <w:rsid w:val="00E47147"/>
    <w:rsid w:val="00E4736A"/>
    <w:rsid w:val="00E50142"/>
    <w:rsid w:val="00E5059C"/>
    <w:rsid w:val="00E505E6"/>
    <w:rsid w:val="00E5064E"/>
    <w:rsid w:val="00E5068C"/>
    <w:rsid w:val="00E5086D"/>
    <w:rsid w:val="00E51BC1"/>
    <w:rsid w:val="00E51E20"/>
    <w:rsid w:val="00E523C1"/>
    <w:rsid w:val="00E52FEE"/>
    <w:rsid w:val="00E5316E"/>
    <w:rsid w:val="00E531D1"/>
    <w:rsid w:val="00E539DB"/>
    <w:rsid w:val="00E53B95"/>
    <w:rsid w:val="00E53D16"/>
    <w:rsid w:val="00E542DC"/>
    <w:rsid w:val="00E54491"/>
    <w:rsid w:val="00E54595"/>
    <w:rsid w:val="00E5491D"/>
    <w:rsid w:val="00E54A53"/>
    <w:rsid w:val="00E54BBD"/>
    <w:rsid w:val="00E563B4"/>
    <w:rsid w:val="00E56D5C"/>
    <w:rsid w:val="00E57875"/>
    <w:rsid w:val="00E57D39"/>
    <w:rsid w:val="00E60D91"/>
    <w:rsid w:val="00E629CB"/>
    <w:rsid w:val="00E6392E"/>
    <w:rsid w:val="00E63E19"/>
    <w:rsid w:val="00E63F79"/>
    <w:rsid w:val="00E6440D"/>
    <w:rsid w:val="00E64512"/>
    <w:rsid w:val="00E64980"/>
    <w:rsid w:val="00E649F6"/>
    <w:rsid w:val="00E64BDF"/>
    <w:rsid w:val="00E64CD9"/>
    <w:rsid w:val="00E66039"/>
    <w:rsid w:val="00E671B5"/>
    <w:rsid w:val="00E706C6"/>
    <w:rsid w:val="00E708EE"/>
    <w:rsid w:val="00E7139D"/>
    <w:rsid w:val="00E7159D"/>
    <w:rsid w:val="00E7168C"/>
    <w:rsid w:val="00E717F8"/>
    <w:rsid w:val="00E7474F"/>
    <w:rsid w:val="00E7582A"/>
    <w:rsid w:val="00E7623C"/>
    <w:rsid w:val="00E762D4"/>
    <w:rsid w:val="00E77733"/>
    <w:rsid w:val="00E77F58"/>
    <w:rsid w:val="00E8016C"/>
    <w:rsid w:val="00E8078E"/>
    <w:rsid w:val="00E80C5E"/>
    <w:rsid w:val="00E80C87"/>
    <w:rsid w:val="00E81520"/>
    <w:rsid w:val="00E81E7B"/>
    <w:rsid w:val="00E81FB0"/>
    <w:rsid w:val="00E821A1"/>
    <w:rsid w:val="00E83461"/>
    <w:rsid w:val="00E83640"/>
    <w:rsid w:val="00E83873"/>
    <w:rsid w:val="00E83DA0"/>
    <w:rsid w:val="00E841D9"/>
    <w:rsid w:val="00E845EB"/>
    <w:rsid w:val="00E84A9A"/>
    <w:rsid w:val="00E84F7F"/>
    <w:rsid w:val="00E85010"/>
    <w:rsid w:val="00E85A97"/>
    <w:rsid w:val="00E8616D"/>
    <w:rsid w:val="00E862F8"/>
    <w:rsid w:val="00E8666D"/>
    <w:rsid w:val="00E8709D"/>
    <w:rsid w:val="00E87744"/>
    <w:rsid w:val="00E87A10"/>
    <w:rsid w:val="00E87B4F"/>
    <w:rsid w:val="00E87E2C"/>
    <w:rsid w:val="00E90997"/>
    <w:rsid w:val="00E90F5F"/>
    <w:rsid w:val="00E918CE"/>
    <w:rsid w:val="00E92343"/>
    <w:rsid w:val="00E92F29"/>
    <w:rsid w:val="00E9303D"/>
    <w:rsid w:val="00E932B9"/>
    <w:rsid w:val="00E9403C"/>
    <w:rsid w:val="00E9469B"/>
    <w:rsid w:val="00E94833"/>
    <w:rsid w:val="00E94C6B"/>
    <w:rsid w:val="00E9512E"/>
    <w:rsid w:val="00E95BDE"/>
    <w:rsid w:val="00E95C71"/>
    <w:rsid w:val="00E9618D"/>
    <w:rsid w:val="00E96732"/>
    <w:rsid w:val="00E968E8"/>
    <w:rsid w:val="00E969B3"/>
    <w:rsid w:val="00E96AED"/>
    <w:rsid w:val="00E97114"/>
    <w:rsid w:val="00E973CA"/>
    <w:rsid w:val="00E97496"/>
    <w:rsid w:val="00EA08E5"/>
    <w:rsid w:val="00EA0C72"/>
    <w:rsid w:val="00EA0CF5"/>
    <w:rsid w:val="00EA148E"/>
    <w:rsid w:val="00EA1531"/>
    <w:rsid w:val="00EA1624"/>
    <w:rsid w:val="00EA170C"/>
    <w:rsid w:val="00EA1790"/>
    <w:rsid w:val="00EA1D87"/>
    <w:rsid w:val="00EA211A"/>
    <w:rsid w:val="00EA2270"/>
    <w:rsid w:val="00EA2353"/>
    <w:rsid w:val="00EA3001"/>
    <w:rsid w:val="00EA3269"/>
    <w:rsid w:val="00EA35CF"/>
    <w:rsid w:val="00EA3813"/>
    <w:rsid w:val="00EA3A57"/>
    <w:rsid w:val="00EA3BE8"/>
    <w:rsid w:val="00EA49E0"/>
    <w:rsid w:val="00EA4C63"/>
    <w:rsid w:val="00EA4FC1"/>
    <w:rsid w:val="00EA51C8"/>
    <w:rsid w:val="00EA590D"/>
    <w:rsid w:val="00EA6257"/>
    <w:rsid w:val="00EA63B8"/>
    <w:rsid w:val="00EA642D"/>
    <w:rsid w:val="00EA6B3C"/>
    <w:rsid w:val="00EA6E2F"/>
    <w:rsid w:val="00EA7529"/>
    <w:rsid w:val="00EA7F55"/>
    <w:rsid w:val="00EB0A9F"/>
    <w:rsid w:val="00EB17AF"/>
    <w:rsid w:val="00EB1AB9"/>
    <w:rsid w:val="00EB2485"/>
    <w:rsid w:val="00EB36A6"/>
    <w:rsid w:val="00EB3837"/>
    <w:rsid w:val="00EB3A23"/>
    <w:rsid w:val="00EB3D61"/>
    <w:rsid w:val="00EB48A1"/>
    <w:rsid w:val="00EB48B3"/>
    <w:rsid w:val="00EB491B"/>
    <w:rsid w:val="00EB4A50"/>
    <w:rsid w:val="00EB5059"/>
    <w:rsid w:val="00EB597D"/>
    <w:rsid w:val="00EB5D69"/>
    <w:rsid w:val="00EB5F66"/>
    <w:rsid w:val="00EB646D"/>
    <w:rsid w:val="00EB6830"/>
    <w:rsid w:val="00EB68FD"/>
    <w:rsid w:val="00EB786F"/>
    <w:rsid w:val="00EB7CAB"/>
    <w:rsid w:val="00EC0261"/>
    <w:rsid w:val="00EC0C08"/>
    <w:rsid w:val="00EC0E95"/>
    <w:rsid w:val="00EC0FB0"/>
    <w:rsid w:val="00EC180F"/>
    <w:rsid w:val="00EC1B4E"/>
    <w:rsid w:val="00EC21BA"/>
    <w:rsid w:val="00EC2A52"/>
    <w:rsid w:val="00EC2AA3"/>
    <w:rsid w:val="00EC307D"/>
    <w:rsid w:val="00EC3193"/>
    <w:rsid w:val="00EC360B"/>
    <w:rsid w:val="00EC3717"/>
    <w:rsid w:val="00EC42BE"/>
    <w:rsid w:val="00EC48A5"/>
    <w:rsid w:val="00EC4F1F"/>
    <w:rsid w:val="00EC5398"/>
    <w:rsid w:val="00EC5E45"/>
    <w:rsid w:val="00EC6262"/>
    <w:rsid w:val="00EC6AFB"/>
    <w:rsid w:val="00EC6D6C"/>
    <w:rsid w:val="00EC716A"/>
    <w:rsid w:val="00EC75D2"/>
    <w:rsid w:val="00EC75DE"/>
    <w:rsid w:val="00EC7C55"/>
    <w:rsid w:val="00EC7EED"/>
    <w:rsid w:val="00ED0B6D"/>
    <w:rsid w:val="00ED0EB6"/>
    <w:rsid w:val="00ED0F13"/>
    <w:rsid w:val="00ED1633"/>
    <w:rsid w:val="00ED219E"/>
    <w:rsid w:val="00ED220E"/>
    <w:rsid w:val="00ED22CA"/>
    <w:rsid w:val="00ED291F"/>
    <w:rsid w:val="00ED29F8"/>
    <w:rsid w:val="00ED2A4E"/>
    <w:rsid w:val="00ED2C5A"/>
    <w:rsid w:val="00ED2FBA"/>
    <w:rsid w:val="00ED2FC0"/>
    <w:rsid w:val="00ED325D"/>
    <w:rsid w:val="00ED32F8"/>
    <w:rsid w:val="00ED3462"/>
    <w:rsid w:val="00ED3D18"/>
    <w:rsid w:val="00ED471B"/>
    <w:rsid w:val="00ED4732"/>
    <w:rsid w:val="00ED499D"/>
    <w:rsid w:val="00ED58DE"/>
    <w:rsid w:val="00ED6E34"/>
    <w:rsid w:val="00ED7110"/>
    <w:rsid w:val="00ED7EF9"/>
    <w:rsid w:val="00EE0A07"/>
    <w:rsid w:val="00EE0EFC"/>
    <w:rsid w:val="00EE17FD"/>
    <w:rsid w:val="00EE1911"/>
    <w:rsid w:val="00EE2461"/>
    <w:rsid w:val="00EE2C1B"/>
    <w:rsid w:val="00EE2DD8"/>
    <w:rsid w:val="00EE3514"/>
    <w:rsid w:val="00EE38A0"/>
    <w:rsid w:val="00EE3B3D"/>
    <w:rsid w:val="00EE40B2"/>
    <w:rsid w:val="00EE4EEC"/>
    <w:rsid w:val="00EE5C1F"/>
    <w:rsid w:val="00EE6A0D"/>
    <w:rsid w:val="00EE6CB8"/>
    <w:rsid w:val="00EE7636"/>
    <w:rsid w:val="00EF0232"/>
    <w:rsid w:val="00EF0B28"/>
    <w:rsid w:val="00EF1F6F"/>
    <w:rsid w:val="00EF2EAD"/>
    <w:rsid w:val="00EF34DB"/>
    <w:rsid w:val="00EF3664"/>
    <w:rsid w:val="00EF3998"/>
    <w:rsid w:val="00EF3DC8"/>
    <w:rsid w:val="00EF489E"/>
    <w:rsid w:val="00EF4A82"/>
    <w:rsid w:val="00EF4C87"/>
    <w:rsid w:val="00EF504E"/>
    <w:rsid w:val="00EF5174"/>
    <w:rsid w:val="00EF57B8"/>
    <w:rsid w:val="00EF5851"/>
    <w:rsid w:val="00EF5BBC"/>
    <w:rsid w:val="00EF5EE7"/>
    <w:rsid w:val="00EF637E"/>
    <w:rsid w:val="00EF79B6"/>
    <w:rsid w:val="00EF7F34"/>
    <w:rsid w:val="00F0086F"/>
    <w:rsid w:val="00F00BC4"/>
    <w:rsid w:val="00F00C3C"/>
    <w:rsid w:val="00F00F2F"/>
    <w:rsid w:val="00F00F65"/>
    <w:rsid w:val="00F01353"/>
    <w:rsid w:val="00F013A9"/>
    <w:rsid w:val="00F01508"/>
    <w:rsid w:val="00F01C7B"/>
    <w:rsid w:val="00F01DE7"/>
    <w:rsid w:val="00F02505"/>
    <w:rsid w:val="00F02720"/>
    <w:rsid w:val="00F03916"/>
    <w:rsid w:val="00F039AF"/>
    <w:rsid w:val="00F03ABB"/>
    <w:rsid w:val="00F03AF4"/>
    <w:rsid w:val="00F03CBA"/>
    <w:rsid w:val="00F041B6"/>
    <w:rsid w:val="00F05026"/>
    <w:rsid w:val="00F05891"/>
    <w:rsid w:val="00F0660F"/>
    <w:rsid w:val="00F06B54"/>
    <w:rsid w:val="00F07DB5"/>
    <w:rsid w:val="00F07ED8"/>
    <w:rsid w:val="00F10565"/>
    <w:rsid w:val="00F108E5"/>
    <w:rsid w:val="00F10FB3"/>
    <w:rsid w:val="00F114BC"/>
    <w:rsid w:val="00F1159C"/>
    <w:rsid w:val="00F11A71"/>
    <w:rsid w:val="00F12309"/>
    <w:rsid w:val="00F125AF"/>
    <w:rsid w:val="00F1303F"/>
    <w:rsid w:val="00F13516"/>
    <w:rsid w:val="00F13AF7"/>
    <w:rsid w:val="00F13CFE"/>
    <w:rsid w:val="00F140BE"/>
    <w:rsid w:val="00F142F3"/>
    <w:rsid w:val="00F1437C"/>
    <w:rsid w:val="00F1488E"/>
    <w:rsid w:val="00F15393"/>
    <w:rsid w:val="00F15FB1"/>
    <w:rsid w:val="00F1647E"/>
    <w:rsid w:val="00F1658E"/>
    <w:rsid w:val="00F172F1"/>
    <w:rsid w:val="00F174F8"/>
    <w:rsid w:val="00F1756C"/>
    <w:rsid w:val="00F17590"/>
    <w:rsid w:val="00F17A6A"/>
    <w:rsid w:val="00F20E2D"/>
    <w:rsid w:val="00F20E8C"/>
    <w:rsid w:val="00F21478"/>
    <w:rsid w:val="00F219F8"/>
    <w:rsid w:val="00F21D20"/>
    <w:rsid w:val="00F228BF"/>
    <w:rsid w:val="00F2290D"/>
    <w:rsid w:val="00F236E7"/>
    <w:rsid w:val="00F23E9F"/>
    <w:rsid w:val="00F24CF6"/>
    <w:rsid w:val="00F2519C"/>
    <w:rsid w:val="00F2565B"/>
    <w:rsid w:val="00F25A23"/>
    <w:rsid w:val="00F25ACE"/>
    <w:rsid w:val="00F271DE"/>
    <w:rsid w:val="00F27600"/>
    <w:rsid w:val="00F279F0"/>
    <w:rsid w:val="00F27A57"/>
    <w:rsid w:val="00F3090A"/>
    <w:rsid w:val="00F31030"/>
    <w:rsid w:val="00F31349"/>
    <w:rsid w:val="00F31568"/>
    <w:rsid w:val="00F31B30"/>
    <w:rsid w:val="00F31BA8"/>
    <w:rsid w:val="00F31E63"/>
    <w:rsid w:val="00F31F74"/>
    <w:rsid w:val="00F32796"/>
    <w:rsid w:val="00F32AB4"/>
    <w:rsid w:val="00F32BEA"/>
    <w:rsid w:val="00F32DA7"/>
    <w:rsid w:val="00F32FE0"/>
    <w:rsid w:val="00F3311A"/>
    <w:rsid w:val="00F33A8D"/>
    <w:rsid w:val="00F34101"/>
    <w:rsid w:val="00F349BD"/>
    <w:rsid w:val="00F353E7"/>
    <w:rsid w:val="00F357C0"/>
    <w:rsid w:val="00F358A8"/>
    <w:rsid w:val="00F36472"/>
    <w:rsid w:val="00F36FD3"/>
    <w:rsid w:val="00F372D8"/>
    <w:rsid w:val="00F37D22"/>
    <w:rsid w:val="00F401CC"/>
    <w:rsid w:val="00F40658"/>
    <w:rsid w:val="00F409FF"/>
    <w:rsid w:val="00F40A2A"/>
    <w:rsid w:val="00F40D1C"/>
    <w:rsid w:val="00F410C2"/>
    <w:rsid w:val="00F413E9"/>
    <w:rsid w:val="00F417F1"/>
    <w:rsid w:val="00F4194B"/>
    <w:rsid w:val="00F41A0B"/>
    <w:rsid w:val="00F41CCF"/>
    <w:rsid w:val="00F42112"/>
    <w:rsid w:val="00F42817"/>
    <w:rsid w:val="00F42889"/>
    <w:rsid w:val="00F42AA8"/>
    <w:rsid w:val="00F43060"/>
    <w:rsid w:val="00F430E2"/>
    <w:rsid w:val="00F43757"/>
    <w:rsid w:val="00F43BB8"/>
    <w:rsid w:val="00F43F0D"/>
    <w:rsid w:val="00F44748"/>
    <w:rsid w:val="00F44AE8"/>
    <w:rsid w:val="00F44D8D"/>
    <w:rsid w:val="00F45874"/>
    <w:rsid w:val="00F46E35"/>
    <w:rsid w:val="00F46FB2"/>
    <w:rsid w:val="00F473B7"/>
    <w:rsid w:val="00F47EB4"/>
    <w:rsid w:val="00F52200"/>
    <w:rsid w:val="00F5228B"/>
    <w:rsid w:val="00F524B7"/>
    <w:rsid w:val="00F5296C"/>
    <w:rsid w:val="00F52A2E"/>
    <w:rsid w:val="00F52CFF"/>
    <w:rsid w:val="00F52FDB"/>
    <w:rsid w:val="00F5304F"/>
    <w:rsid w:val="00F5306C"/>
    <w:rsid w:val="00F53221"/>
    <w:rsid w:val="00F53330"/>
    <w:rsid w:val="00F53518"/>
    <w:rsid w:val="00F536FE"/>
    <w:rsid w:val="00F53B05"/>
    <w:rsid w:val="00F53DFD"/>
    <w:rsid w:val="00F5403D"/>
    <w:rsid w:val="00F54942"/>
    <w:rsid w:val="00F55698"/>
    <w:rsid w:val="00F55C6F"/>
    <w:rsid w:val="00F55F1D"/>
    <w:rsid w:val="00F570F5"/>
    <w:rsid w:val="00F5711B"/>
    <w:rsid w:val="00F57C0E"/>
    <w:rsid w:val="00F60BD9"/>
    <w:rsid w:val="00F60C50"/>
    <w:rsid w:val="00F6130E"/>
    <w:rsid w:val="00F6154B"/>
    <w:rsid w:val="00F6183A"/>
    <w:rsid w:val="00F61CC9"/>
    <w:rsid w:val="00F61CE1"/>
    <w:rsid w:val="00F61D14"/>
    <w:rsid w:val="00F62151"/>
    <w:rsid w:val="00F6345A"/>
    <w:rsid w:val="00F63473"/>
    <w:rsid w:val="00F63F41"/>
    <w:rsid w:val="00F640DB"/>
    <w:rsid w:val="00F641DD"/>
    <w:rsid w:val="00F64BB6"/>
    <w:rsid w:val="00F650A9"/>
    <w:rsid w:val="00F66448"/>
    <w:rsid w:val="00F66587"/>
    <w:rsid w:val="00F6746E"/>
    <w:rsid w:val="00F67876"/>
    <w:rsid w:val="00F67E1E"/>
    <w:rsid w:val="00F70222"/>
    <w:rsid w:val="00F70978"/>
    <w:rsid w:val="00F70DD5"/>
    <w:rsid w:val="00F713E9"/>
    <w:rsid w:val="00F71759"/>
    <w:rsid w:val="00F71C9F"/>
    <w:rsid w:val="00F72094"/>
    <w:rsid w:val="00F72114"/>
    <w:rsid w:val="00F7230C"/>
    <w:rsid w:val="00F724F7"/>
    <w:rsid w:val="00F725CD"/>
    <w:rsid w:val="00F7286B"/>
    <w:rsid w:val="00F72E1E"/>
    <w:rsid w:val="00F72EE4"/>
    <w:rsid w:val="00F73039"/>
    <w:rsid w:val="00F738B6"/>
    <w:rsid w:val="00F740E3"/>
    <w:rsid w:val="00F74B8E"/>
    <w:rsid w:val="00F74FD6"/>
    <w:rsid w:val="00F7511E"/>
    <w:rsid w:val="00F754DE"/>
    <w:rsid w:val="00F75B39"/>
    <w:rsid w:val="00F75B44"/>
    <w:rsid w:val="00F760E2"/>
    <w:rsid w:val="00F76545"/>
    <w:rsid w:val="00F7722F"/>
    <w:rsid w:val="00F7783C"/>
    <w:rsid w:val="00F77B99"/>
    <w:rsid w:val="00F77ED3"/>
    <w:rsid w:val="00F8002C"/>
    <w:rsid w:val="00F80824"/>
    <w:rsid w:val="00F80941"/>
    <w:rsid w:val="00F809C8"/>
    <w:rsid w:val="00F80B30"/>
    <w:rsid w:val="00F80BEA"/>
    <w:rsid w:val="00F80F27"/>
    <w:rsid w:val="00F811E2"/>
    <w:rsid w:val="00F8179D"/>
    <w:rsid w:val="00F81B08"/>
    <w:rsid w:val="00F81E3C"/>
    <w:rsid w:val="00F821E9"/>
    <w:rsid w:val="00F827A2"/>
    <w:rsid w:val="00F83012"/>
    <w:rsid w:val="00F83BC3"/>
    <w:rsid w:val="00F84383"/>
    <w:rsid w:val="00F845ED"/>
    <w:rsid w:val="00F852DF"/>
    <w:rsid w:val="00F85571"/>
    <w:rsid w:val="00F85C1C"/>
    <w:rsid w:val="00F85FA4"/>
    <w:rsid w:val="00F863D3"/>
    <w:rsid w:val="00F8673F"/>
    <w:rsid w:val="00F86B71"/>
    <w:rsid w:val="00F87969"/>
    <w:rsid w:val="00F879E7"/>
    <w:rsid w:val="00F87D7F"/>
    <w:rsid w:val="00F904E8"/>
    <w:rsid w:val="00F91635"/>
    <w:rsid w:val="00F92CA0"/>
    <w:rsid w:val="00F93309"/>
    <w:rsid w:val="00F9342A"/>
    <w:rsid w:val="00F93BAB"/>
    <w:rsid w:val="00F93EA5"/>
    <w:rsid w:val="00F94850"/>
    <w:rsid w:val="00F95158"/>
    <w:rsid w:val="00F95488"/>
    <w:rsid w:val="00F95E6E"/>
    <w:rsid w:val="00F96511"/>
    <w:rsid w:val="00F967BA"/>
    <w:rsid w:val="00F96A9F"/>
    <w:rsid w:val="00F97234"/>
    <w:rsid w:val="00F974FB"/>
    <w:rsid w:val="00FA009E"/>
    <w:rsid w:val="00FA0757"/>
    <w:rsid w:val="00FA0DD9"/>
    <w:rsid w:val="00FA127C"/>
    <w:rsid w:val="00FA1F78"/>
    <w:rsid w:val="00FA2319"/>
    <w:rsid w:val="00FA2759"/>
    <w:rsid w:val="00FA2B14"/>
    <w:rsid w:val="00FA2EA8"/>
    <w:rsid w:val="00FA33AA"/>
    <w:rsid w:val="00FA3EB5"/>
    <w:rsid w:val="00FA4778"/>
    <w:rsid w:val="00FA52D7"/>
    <w:rsid w:val="00FA5457"/>
    <w:rsid w:val="00FA5894"/>
    <w:rsid w:val="00FA5B1B"/>
    <w:rsid w:val="00FA5CB3"/>
    <w:rsid w:val="00FA5DE3"/>
    <w:rsid w:val="00FA79F2"/>
    <w:rsid w:val="00FA7B06"/>
    <w:rsid w:val="00FB0857"/>
    <w:rsid w:val="00FB08FA"/>
    <w:rsid w:val="00FB0A5B"/>
    <w:rsid w:val="00FB1489"/>
    <w:rsid w:val="00FB1AFA"/>
    <w:rsid w:val="00FB26E2"/>
    <w:rsid w:val="00FB2B1F"/>
    <w:rsid w:val="00FB40EF"/>
    <w:rsid w:val="00FB40FC"/>
    <w:rsid w:val="00FB4758"/>
    <w:rsid w:val="00FB48B9"/>
    <w:rsid w:val="00FB54E7"/>
    <w:rsid w:val="00FB5895"/>
    <w:rsid w:val="00FB6DDC"/>
    <w:rsid w:val="00FB6E14"/>
    <w:rsid w:val="00FB6F11"/>
    <w:rsid w:val="00FB6F44"/>
    <w:rsid w:val="00FB6FAA"/>
    <w:rsid w:val="00FB7373"/>
    <w:rsid w:val="00FB774F"/>
    <w:rsid w:val="00FB794F"/>
    <w:rsid w:val="00FB7A0A"/>
    <w:rsid w:val="00FB7AA7"/>
    <w:rsid w:val="00FB7C41"/>
    <w:rsid w:val="00FC1A8A"/>
    <w:rsid w:val="00FC3D7A"/>
    <w:rsid w:val="00FC3D9E"/>
    <w:rsid w:val="00FC4305"/>
    <w:rsid w:val="00FC5E44"/>
    <w:rsid w:val="00FC6270"/>
    <w:rsid w:val="00FC64C3"/>
    <w:rsid w:val="00FC6936"/>
    <w:rsid w:val="00FC6998"/>
    <w:rsid w:val="00FC6EC5"/>
    <w:rsid w:val="00FD0134"/>
    <w:rsid w:val="00FD0386"/>
    <w:rsid w:val="00FD0AAF"/>
    <w:rsid w:val="00FD1D84"/>
    <w:rsid w:val="00FD326D"/>
    <w:rsid w:val="00FD3816"/>
    <w:rsid w:val="00FD3B0A"/>
    <w:rsid w:val="00FD4F50"/>
    <w:rsid w:val="00FD5269"/>
    <w:rsid w:val="00FD579A"/>
    <w:rsid w:val="00FD587C"/>
    <w:rsid w:val="00FD6781"/>
    <w:rsid w:val="00FD6E12"/>
    <w:rsid w:val="00FD739C"/>
    <w:rsid w:val="00FD77F3"/>
    <w:rsid w:val="00FD7EAD"/>
    <w:rsid w:val="00FD7F2D"/>
    <w:rsid w:val="00FE039D"/>
    <w:rsid w:val="00FE0978"/>
    <w:rsid w:val="00FE0A51"/>
    <w:rsid w:val="00FE0C83"/>
    <w:rsid w:val="00FE1E89"/>
    <w:rsid w:val="00FE1F6C"/>
    <w:rsid w:val="00FE23EF"/>
    <w:rsid w:val="00FE25B1"/>
    <w:rsid w:val="00FE344E"/>
    <w:rsid w:val="00FE3552"/>
    <w:rsid w:val="00FE3A9C"/>
    <w:rsid w:val="00FE4784"/>
    <w:rsid w:val="00FE4D77"/>
    <w:rsid w:val="00FE5672"/>
    <w:rsid w:val="00FE5DA3"/>
    <w:rsid w:val="00FE63E4"/>
    <w:rsid w:val="00FE6543"/>
    <w:rsid w:val="00FE69F7"/>
    <w:rsid w:val="00FE6D54"/>
    <w:rsid w:val="00FE6D9C"/>
    <w:rsid w:val="00FE6FF8"/>
    <w:rsid w:val="00FE7299"/>
    <w:rsid w:val="00FF04E6"/>
    <w:rsid w:val="00FF078C"/>
    <w:rsid w:val="00FF0CBB"/>
    <w:rsid w:val="00FF101C"/>
    <w:rsid w:val="00FF1A8C"/>
    <w:rsid w:val="00FF1EAC"/>
    <w:rsid w:val="00FF2C10"/>
    <w:rsid w:val="00FF2E30"/>
    <w:rsid w:val="00FF3759"/>
    <w:rsid w:val="00FF3791"/>
    <w:rsid w:val="00FF453E"/>
    <w:rsid w:val="00FF4F91"/>
    <w:rsid w:val="00FF51D2"/>
    <w:rsid w:val="00FF61B6"/>
    <w:rsid w:val="00FF6799"/>
    <w:rsid w:val="00FF6DC3"/>
    <w:rsid w:val="00FF73F4"/>
    <w:rsid w:val="00FF7676"/>
    <w:rsid w:val="06111826"/>
    <w:rsid w:val="101E776B"/>
    <w:rsid w:val="10B43082"/>
    <w:rsid w:val="313C261E"/>
    <w:rsid w:val="3DAC6560"/>
    <w:rsid w:val="3E0429C8"/>
    <w:rsid w:val="42F2191D"/>
    <w:rsid w:val="4DA0040B"/>
    <w:rsid w:val="63DE63DE"/>
    <w:rsid w:val="7DBA0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0"/>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1">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semiHidden/>
    <w:qFormat/>
    <w:uiPriority w:val="0"/>
    <w:rPr>
      <w:b/>
      <w:bCs/>
    </w:rPr>
  </w:style>
  <w:style w:type="paragraph" w:styleId="7">
    <w:name w:val="annotation text"/>
    <w:basedOn w:val="1"/>
    <w:semiHidden/>
    <w:qFormat/>
    <w:uiPriority w:val="0"/>
    <w:pPr>
      <w:jc w:val="left"/>
    </w:pPr>
  </w:style>
  <w:style w:type="paragraph" w:styleId="8">
    <w:name w:val="Document Map"/>
    <w:basedOn w:val="1"/>
    <w:semiHidden/>
    <w:qFormat/>
    <w:uiPriority w:val="0"/>
    <w:pPr>
      <w:shd w:val="clear" w:color="auto" w:fill="000080"/>
    </w:pPr>
  </w:style>
  <w:style w:type="paragraph" w:styleId="9">
    <w:name w:val="Body Text Indent"/>
    <w:basedOn w:val="1"/>
    <w:qFormat/>
    <w:uiPriority w:val="0"/>
    <w:pPr>
      <w:ind w:firstLine="551" w:firstLineChars="196"/>
    </w:pPr>
    <w:rPr>
      <w:rFonts w:eastAsia="仿宋_GB2312"/>
      <w:b/>
      <w:bCs/>
      <w:sz w:val="28"/>
    </w:rPr>
  </w:style>
  <w:style w:type="paragraph" w:styleId="10">
    <w:name w:val="toc 3"/>
    <w:basedOn w:val="1"/>
    <w:next w:val="1"/>
    <w:semiHidden/>
    <w:qFormat/>
    <w:uiPriority w:val="0"/>
    <w:pPr>
      <w:spacing w:line="320" w:lineRule="exact"/>
      <w:ind w:left="400" w:leftChars="400"/>
    </w:pPr>
    <w:rPr>
      <w:rFonts w:eastAsia="仿宋_GB2312"/>
    </w:rPr>
  </w:style>
  <w:style w:type="paragraph" w:styleId="11">
    <w:name w:val="Date"/>
    <w:basedOn w:val="1"/>
    <w:next w:val="1"/>
    <w:link w:val="35"/>
    <w:qFormat/>
    <w:uiPriority w:val="0"/>
    <w:pPr>
      <w:ind w:left="100" w:leftChars="2500"/>
    </w:pPr>
  </w:style>
  <w:style w:type="paragraph" w:styleId="12">
    <w:name w:val="Body Text Indent 2"/>
    <w:basedOn w:val="1"/>
    <w:qFormat/>
    <w:uiPriority w:val="0"/>
    <w:pPr>
      <w:ind w:firstLine="560" w:firstLineChars="200"/>
    </w:pPr>
    <w:rPr>
      <w:rFonts w:eastAsia="仿宋_GB2312"/>
      <w:sz w:val="28"/>
    </w:rPr>
  </w:style>
  <w:style w:type="paragraph" w:styleId="13">
    <w:name w:val="Balloon Text"/>
    <w:basedOn w:val="1"/>
    <w:semiHidden/>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8296"/>
      </w:tabs>
      <w:spacing w:line="360" w:lineRule="auto"/>
    </w:pPr>
    <w:rPr>
      <w:rFonts w:ascii="宋体" w:hAnsi="宋体"/>
      <w:sz w:val="28"/>
      <w:szCs w:val="28"/>
    </w:rPr>
  </w:style>
  <w:style w:type="paragraph" w:styleId="17">
    <w:name w:val="toc 2"/>
    <w:basedOn w:val="1"/>
    <w:next w:val="1"/>
    <w:qFormat/>
    <w:uiPriority w:val="39"/>
    <w:pPr>
      <w:tabs>
        <w:tab w:val="right" w:leader="dot" w:pos="8296"/>
      </w:tabs>
      <w:spacing w:line="360" w:lineRule="auto"/>
      <w:ind w:left="200" w:leftChars="200"/>
    </w:pPr>
    <w:rPr>
      <w:rFonts w:ascii="仿宋_GB2312" w:hAnsi="宋体" w:eastAsia="仿宋_GB2312"/>
      <w:sz w:val="24"/>
      <w:szCs w:val="28"/>
    </w:rPr>
  </w:style>
  <w:style w:type="paragraph" w:styleId="18">
    <w:name w:val="Body Text 2"/>
    <w:basedOn w:val="1"/>
    <w:qFormat/>
    <w:uiPriority w:val="0"/>
    <w:pPr>
      <w:spacing w:after="120" w:line="480" w:lineRule="auto"/>
    </w:pPr>
  </w:style>
  <w:style w:type="paragraph" w:styleId="19">
    <w:name w:val="Normal (Web)"/>
    <w:basedOn w:val="1"/>
    <w:qFormat/>
    <w:uiPriority w:val="0"/>
    <w:pPr>
      <w:widowControl/>
      <w:spacing w:before="100" w:beforeAutospacing="1" w:after="100" w:afterAutospacing="1"/>
      <w:jc w:val="left"/>
    </w:pPr>
    <w:rPr>
      <w:rFonts w:ascii="宋体" w:hAnsi="宋体"/>
      <w:kern w:val="0"/>
      <w:sz w:val="24"/>
    </w:rPr>
  </w:style>
  <w:style w:type="paragraph" w:styleId="20">
    <w:name w:val="Title"/>
    <w:basedOn w:val="1"/>
    <w:qFormat/>
    <w:uiPriority w:val="0"/>
    <w:pPr>
      <w:spacing w:before="240" w:after="60"/>
      <w:jc w:val="center"/>
      <w:outlineLvl w:val="0"/>
    </w:pPr>
    <w:rPr>
      <w:rFonts w:ascii="Arial" w:hAnsi="Arial" w:cs="Arial"/>
      <w:b/>
      <w:bCs/>
      <w:sz w:val="32"/>
      <w:szCs w:val="32"/>
    </w:rPr>
  </w:style>
  <w:style w:type="character" w:styleId="22">
    <w:name w:val="page number"/>
    <w:basedOn w:val="21"/>
    <w:qFormat/>
    <w:uiPriority w:val="0"/>
  </w:style>
  <w:style w:type="character" w:styleId="23">
    <w:name w:val="FollowedHyperlink"/>
    <w:qFormat/>
    <w:uiPriority w:val="99"/>
    <w:rPr>
      <w:color w:val="800080"/>
      <w:u w:val="single"/>
    </w:rPr>
  </w:style>
  <w:style w:type="character" w:styleId="24">
    <w:name w:val="Hyperlink"/>
    <w:qFormat/>
    <w:uiPriority w:val="99"/>
    <w:rPr>
      <w:color w:val="0000FF"/>
      <w:u w:val="single"/>
    </w:rPr>
  </w:style>
  <w:style w:type="character" w:styleId="25">
    <w:name w:val="annotation reference"/>
    <w:semiHidden/>
    <w:qFormat/>
    <w:uiPriority w:val="0"/>
    <w:rPr>
      <w:sz w:val="21"/>
      <w:szCs w:val="21"/>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8">
    <w:name w:val="Table Grid 1"/>
    <w:basedOn w:val="26"/>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lastRow">
      <w:rPr>
        <w:i/>
        <w:iCs/>
      </w:rPr>
      <w:tblPr>
        <w:tblLayout w:type="fixed"/>
      </w:tblPr>
      <w:tcPr>
        <w:tcBorders>
          <w:tl2br w:val="nil"/>
          <w:tr2bl w:val="nil"/>
        </w:tcBorders>
      </w:tcPr>
    </w:tblStylePr>
    <w:tblStylePr w:type="lastCol">
      <w:rPr>
        <w:i/>
        <w:i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character" w:customStyle="1" w:styleId="29">
    <w:name w:val="标题 1 Char"/>
    <w:link w:val="2"/>
    <w:qFormat/>
    <w:uiPriority w:val="0"/>
    <w:rPr>
      <w:b/>
      <w:bCs/>
      <w:kern w:val="44"/>
      <w:sz w:val="44"/>
      <w:szCs w:val="44"/>
    </w:rPr>
  </w:style>
  <w:style w:type="character" w:customStyle="1" w:styleId="30">
    <w:name w:val="标题 3 Char1"/>
    <w:link w:val="4"/>
    <w:qFormat/>
    <w:uiPriority w:val="0"/>
    <w:rPr>
      <w:rFonts w:eastAsia="宋体"/>
      <w:b/>
      <w:bCs/>
      <w:kern w:val="2"/>
      <w:sz w:val="32"/>
      <w:szCs w:val="32"/>
      <w:lang w:val="en-US" w:eastAsia="zh-CN" w:bidi="ar-SA"/>
    </w:rPr>
  </w:style>
  <w:style w:type="paragraph" w:customStyle="1" w:styleId="31">
    <w:name w:val="Char Char Char Char Char Char Char"/>
    <w:basedOn w:val="1"/>
    <w:next w:val="32"/>
    <w:qFormat/>
    <w:uiPriority w:val="0"/>
    <w:rPr>
      <w:rFonts w:ascii="Tahoma" w:hAnsi="Tahoma" w:cs="Tahoma"/>
      <w:sz w:val="24"/>
    </w:rPr>
  </w:style>
  <w:style w:type="paragraph" w:customStyle="1" w:styleId="32">
    <w:name w:val="样式 标题 3 + 四号"/>
    <w:basedOn w:val="4"/>
    <w:qFormat/>
    <w:uiPriority w:val="0"/>
    <w:rPr>
      <w:sz w:val="28"/>
    </w:rPr>
  </w:style>
  <w:style w:type="paragraph" w:customStyle="1" w:styleId="33">
    <w:name w:val="规划正文"/>
    <w:basedOn w:val="1"/>
    <w:qFormat/>
    <w:uiPriority w:val="0"/>
    <w:pPr>
      <w:spacing w:line="480" w:lineRule="exact"/>
      <w:ind w:firstLine="200" w:firstLineChars="200"/>
    </w:pPr>
    <w:rPr>
      <w:rFonts w:ascii="仿宋_GB2312" w:eastAsia="仿宋_GB2312"/>
      <w:sz w:val="30"/>
      <w:szCs w:val="30"/>
    </w:rPr>
  </w:style>
  <w:style w:type="paragraph" w:customStyle="1" w:styleId="34">
    <w:name w:val="表格"/>
    <w:basedOn w:val="1"/>
    <w:qFormat/>
    <w:uiPriority w:val="0"/>
    <w:pPr>
      <w:suppressAutoHyphens/>
      <w:jc w:val="left"/>
    </w:pPr>
    <w:rPr>
      <w:rFonts w:ascii="宋体" w:hAnsi="宋体" w:cs="宋体"/>
      <w:kern w:val="0"/>
      <w:sz w:val="18"/>
      <w:szCs w:val="18"/>
      <w:lang w:val="en-GB"/>
    </w:rPr>
  </w:style>
  <w:style w:type="character" w:customStyle="1" w:styleId="35">
    <w:name w:val="日期 Char"/>
    <w:link w:val="11"/>
    <w:qFormat/>
    <w:uiPriority w:val="0"/>
    <w:rPr>
      <w:rFonts w:eastAsia="宋体"/>
      <w:kern w:val="2"/>
      <w:sz w:val="21"/>
      <w:szCs w:val="24"/>
      <w:lang w:val="en-US" w:eastAsia="zh-CN" w:bidi="ar-SA"/>
    </w:rPr>
  </w:style>
  <w:style w:type="paragraph" w:customStyle="1" w:styleId="3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7">
    <w:name w:val="图表标题"/>
    <w:basedOn w:val="20"/>
    <w:next w:val="1"/>
    <w:qFormat/>
    <w:uiPriority w:val="0"/>
    <w:pPr>
      <w:spacing w:beforeLines="100" w:afterLines="50"/>
      <w:jc w:val="left"/>
    </w:pPr>
    <w:rPr>
      <w:rFonts w:eastAsia="黑体"/>
      <w:sz w:val="24"/>
    </w:rPr>
  </w:style>
  <w:style w:type="paragraph" w:customStyle="1" w:styleId="38">
    <w:name w:val="正文2"/>
    <w:basedOn w:val="1"/>
    <w:link w:val="39"/>
    <w:qFormat/>
    <w:uiPriority w:val="0"/>
    <w:pPr>
      <w:ind w:firstLine="600" w:firstLineChars="200"/>
    </w:pPr>
    <w:rPr>
      <w:rFonts w:eastAsia="仿宋_GB2312"/>
      <w:sz w:val="28"/>
      <w:szCs w:val="30"/>
    </w:rPr>
  </w:style>
  <w:style w:type="character" w:customStyle="1" w:styleId="39">
    <w:name w:val="正文2 Char"/>
    <w:link w:val="38"/>
    <w:qFormat/>
    <w:uiPriority w:val="0"/>
    <w:rPr>
      <w:rFonts w:eastAsia="仿宋_GB2312"/>
      <w:kern w:val="2"/>
      <w:sz w:val="28"/>
      <w:szCs w:val="30"/>
      <w:lang w:val="en-US" w:eastAsia="zh-CN" w:bidi="ar-SA"/>
    </w:rPr>
  </w:style>
  <w:style w:type="paragraph" w:customStyle="1" w:styleId="40">
    <w:name w:val="Char Char Char Char Char Char Char Char Char"/>
    <w:basedOn w:val="1"/>
    <w:qFormat/>
    <w:uiPriority w:val="0"/>
    <w:pPr>
      <w:snapToGrid w:val="0"/>
      <w:spacing w:line="360" w:lineRule="auto"/>
      <w:ind w:firstLine="200" w:firstLineChars="200"/>
    </w:pPr>
    <w:rPr>
      <w:rFonts w:eastAsia="仿宋_GB2312"/>
      <w:sz w:val="24"/>
    </w:rPr>
  </w:style>
  <w:style w:type="character" w:customStyle="1" w:styleId="41">
    <w:name w:val="font71"/>
    <w:basedOn w:val="21"/>
    <w:qFormat/>
    <w:uiPriority w:val="0"/>
    <w:rPr>
      <w:rFonts w:ascii="仿宋" w:hAnsi="仿宋" w:eastAsia="仿宋" w:cs="仿宋"/>
      <w:b/>
      <w:color w:val="000000"/>
      <w:sz w:val="20"/>
      <w:szCs w:val="20"/>
      <w:u w:val="none"/>
    </w:rPr>
  </w:style>
  <w:style w:type="character" w:customStyle="1" w:styleId="42">
    <w:name w:val="font41"/>
    <w:basedOn w:val="21"/>
    <w:qFormat/>
    <w:uiPriority w:val="0"/>
    <w:rPr>
      <w:rFonts w:hint="eastAsia" w:ascii="仿宋" w:hAnsi="仿宋" w:eastAsia="仿宋" w:cs="仿宋"/>
      <w:color w:val="000000"/>
      <w:sz w:val="20"/>
      <w:szCs w:val="20"/>
      <w:u w:val="none"/>
    </w:rPr>
  </w:style>
  <w:style w:type="character" w:customStyle="1" w:styleId="43">
    <w:name w:val="font61"/>
    <w:basedOn w:val="21"/>
    <w:qFormat/>
    <w:uiPriority w:val="0"/>
    <w:rPr>
      <w:rFonts w:hint="eastAsia" w:ascii="仿宋" w:hAnsi="仿宋" w:eastAsia="仿宋" w:cs="仿宋"/>
      <w:color w:val="000000"/>
      <w:sz w:val="20"/>
      <w:szCs w:val="20"/>
      <w:u w:val="none"/>
    </w:rPr>
  </w:style>
  <w:style w:type="character" w:customStyle="1" w:styleId="44">
    <w:name w:val="font21"/>
    <w:basedOn w:val="21"/>
    <w:qFormat/>
    <w:uiPriority w:val="0"/>
    <w:rPr>
      <w:rFonts w:hint="default" w:ascii="Times New Roman" w:hAnsi="Times New Roman" w:cs="Times New Roman"/>
      <w:color w:val="000000"/>
      <w:sz w:val="20"/>
      <w:szCs w:val="20"/>
      <w:u w:val="none"/>
    </w:rPr>
  </w:style>
  <w:style w:type="character" w:customStyle="1" w:styleId="45">
    <w:name w:val="font51"/>
    <w:basedOn w:val="21"/>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39FB1C-C23A-49CC-83CD-9EDF7690AE13}">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36</Pages>
  <Words>3242</Words>
  <Characters>18484</Characters>
  <Lines>154</Lines>
  <Paragraphs>43</Paragraphs>
  <ScaleCrop>false</ScaleCrop>
  <LinksUpToDate>false</LinksUpToDate>
  <CharactersWithSpaces>21683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2017-12-19T06:50:00Z</dcterms:created>
  <dc:creator>YlmF</dc:creator>
  <cp:lastModifiedBy>三木</cp:lastModifiedBy>
  <cp:lastPrinted>2017-12-07T08:17:00Z</cp:lastPrinted>
  <dcterms:modified xsi:type="dcterms:W3CDTF">2018-03-12T08:45:12Z</dcterms:modified>
  <dc:title>辽宁省土地利用总体规划大纲（2006－2020年）</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