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行楷" w:hAnsi="华文行楷" w:eastAsia="华文行楷" w:cs="华文行楷"/>
          <w:color w:val="auto"/>
          <w:sz w:val="130"/>
          <w:szCs w:val="130"/>
          <w:lang w:val="en-US" w:eastAsia="zh-CN"/>
        </w:rPr>
      </w:pPr>
      <w:r>
        <w:rPr>
          <w:rFonts w:hint="eastAsia" w:ascii="华文行楷" w:hAnsi="华文行楷" w:eastAsia="华文行楷" w:cs="华文行楷"/>
          <w:color w:val="FF0000"/>
          <w:sz w:val="130"/>
          <w:szCs w:val="130"/>
          <w:lang w:val="en-US" w:eastAsia="zh-CN"/>
        </w:rPr>
        <w:t>清原营商简报</w:t>
      </w:r>
    </w:p>
    <w:p>
      <w:pPr>
        <w:rPr>
          <w:rFonts w:hint="eastAsia"/>
          <w:color w:val="auto"/>
          <w:lang w:val="en-US" w:eastAsia="zh-CN"/>
        </w:rPr>
      </w:pPr>
    </w:p>
    <w:p>
      <w:pPr>
        <w:jc w:val="center"/>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第5期</w:t>
      </w:r>
    </w:p>
    <w:p>
      <w:pPr>
        <w:rPr>
          <w:rFonts w:hint="eastAsia" w:ascii="仿宋" w:hAnsi="仿宋" w:eastAsia="仿宋" w:cs="仿宋"/>
          <w:color w:val="auto"/>
          <w:sz w:val="32"/>
          <w:szCs w:val="32"/>
          <w:lang w:val="en-US" w:eastAsia="zh-CN"/>
        </w:rPr>
      </w:pPr>
    </w:p>
    <w:p>
      <w:pP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lang w:val="en-US" w:eastAsia="zh-CN"/>
        </w:rPr>
        <w:t>清原满族自治县营商环境工作领导小组办公室</w:t>
      </w:r>
      <w:r>
        <w:rPr>
          <w:rFonts w:hint="eastAsia" w:asciiTheme="minorEastAsia" w:hAnsiTheme="minorEastAsia" w:cstheme="minorEastAsia"/>
          <w:color w:val="auto"/>
          <w:sz w:val="24"/>
          <w:szCs w:val="24"/>
          <w:lang w:val="en-US" w:eastAsia="zh-CN"/>
        </w:rPr>
        <w:t xml:space="preserve">            2017年7月5日 </w:t>
      </w:r>
      <w:r>
        <w:rPr>
          <w:rFonts w:hint="eastAsia" w:asciiTheme="minorEastAsia" w:hAnsiTheme="minorEastAsia" w:eastAsiaTheme="minorEastAsia" w:cstheme="minorEastAsia"/>
          <w:color w:val="auto"/>
          <w:sz w:val="24"/>
          <w:szCs w:val="24"/>
          <w:lang w:val="en-US" w:eastAsia="zh-CN"/>
        </w:rPr>
        <w:t xml:space="preserve"> </w:t>
      </w:r>
    </w:p>
    <w:p>
      <w:pPr>
        <w:rPr>
          <w:b/>
          <w:bCs/>
        </w:rPr>
      </w:pPr>
      <w:r>
        <w:rPr>
          <w:color w:val="auto"/>
          <w:sz w:val="21"/>
        </w:rPr>
        <mc:AlternateContent>
          <mc:Choice Requires="wps">
            <w:drawing>
              <wp:anchor distT="0" distB="0" distL="114300" distR="114300" simplePos="0" relativeHeight="251658240" behindDoc="0" locked="0" layoutInCell="1" allowOverlap="1">
                <wp:simplePos x="0" y="0"/>
                <wp:positionH relativeFrom="column">
                  <wp:posOffset>-29845</wp:posOffset>
                </wp:positionH>
                <wp:positionV relativeFrom="paragraph">
                  <wp:posOffset>1270</wp:posOffset>
                </wp:positionV>
                <wp:extent cx="5276850" cy="9525"/>
                <wp:effectExtent l="0" t="0" r="0" b="0"/>
                <wp:wrapNone/>
                <wp:docPr id="1" name="直接连接符 1"/>
                <wp:cNvGraphicFramePr/>
                <a:graphic xmlns:a="http://schemas.openxmlformats.org/drawingml/2006/main">
                  <a:graphicData uri="http://schemas.microsoft.com/office/word/2010/wordprocessingShape">
                    <wps:wsp>
                      <wps:cNvCnPr/>
                      <wps:spPr>
                        <a:xfrm>
                          <a:off x="1113155" y="2896870"/>
                          <a:ext cx="5276850" cy="9525"/>
                        </a:xfrm>
                        <a:prstGeom prst="line">
                          <a:avLst/>
                        </a:prstGeom>
                        <a:ln>
                          <a:solidFill>
                            <a:srgbClr val="FF0000"/>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id="_x0000_s1026" o:spid="_x0000_s1026" o:spt="20" style="position:absolute;left:0pt;margin-left:-2.35pt;margin-top:0.1pt;height:0.75pt;width:415.5pt;z-index:251658240;mso-width-relative:page;mso-height-relative:page;" filled="f" stroked="t" coordsize="21600,21600" o:gfxdata="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H8+HB3SAAAABQEAAA8AAAAAAAAAAQAg&#10;AAAAIgAAAGRycy9kb3ducmV2LnhtbFBLAQIUABQAAAAIAIdO4kAtQTeZ2wEAAHMDAAAOAAAAAAAA&#10;AAEAIAAAACEBAABkcnMvZTJvRG9jLnhtbFBLBQYAAAAABgAGAFkBAABuBQAAAAA=&#10;">
                <v:fill on="f" focussize="0,0"/>
                <v:stroke weight="1.5pt" color="#FF0000 [3205]" miterlimit="8" joinstyle="miter"/>
                <v:imagedata o:title=""/>
                <o:lock v:ext="edit" aspectratio="f"/>
              </v:line>
            </w:pict>
          </mc:Fallback>
        </mc:AlternateContent>
      </w:r>
    </w:p>
    <w:p>
      <w:pPr>
        <w:jc w:val="center"/>
        <w:rPr>
          <w:rFonts w:hint="eastAsia" w:ascii="黑体" w:hAnsi="黑体" w:eastAsia="黑体"/>
          <w:b/>
          <w:sz w:val="44"/>
          <w:szCs w:val="44"/>
        </w:rPr>
      </w:pPr>
      <w:r>
        <w:rPr>
          <w:rFonts w:hint="eastAsia" w:ascii="黑体" w:hAnsi="黑体" w:eastAsia="黑体"/>
          <w:b/>
          <w:sz w:val="44"/>
          <w:szCs w:val="44"/>
        </w:rPr>
        <w:t>营商督查报告</w:t>
      </w:r>
    </w:p>
    <w:p>
      <w:pPr>
        <w:jc w:val="center"/>
        <w:rPr>
          <w:rFonts w:hint="eastAsia" w:ascii="黑体" w:hAnsi="黑体" w:eastAsia="黑体"/>
          <w:b/>
          <w:sz w:val="18"/>
          <w:szCs w:val="18"/>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为全面掌握半年来县直各单位营商工作的进展情况，进一步统一思想、理清思路，明确责任、细化分工，紧盯薄弱环节，督促工作落实，全面推动全县营商工作向纵深开展，从6月27日至30日，根据县委常委、常务副县长郝先兵的工作部署县委督查室、县绩效办、县政务公开办和县营商办组成联合督查组，对52家县直单位进行营商督查。此次督查的重点是：全县营商工作大会后各单位营商工作的进展情况、各单位针对全县7个行动组和5个专项行动</w:t>
      </w:r>
      <w:r>
        <w:rPr>
          <w:rFonts w:hint="eastAsia" w:ascii="仿宋" w:hAnsi="仿宋" w:eastAsia="仿宋" w:cs="仿宋"/>
          <w:sz w:val="32"/>
          <w:szCs w:val="32"/>
          <w:lang w:val="en-US" w:eastAsia="zh-CN"/>
        </w:rPr>
        <w:t>组</w:t>
      </w:r>
      <w:r>
        <w:rPr>
          <w:rFonts w:hint="eastAsia" w:ascii="仿宋" w:hAnsi="仿宋" w:eastAsia="仿宋" w:cs="仿宋"/>
          <w:sz w:val="32"/>
          <w:szCs w:val="32"/>
        </w:rPr>
        <w:t>相关工作的落实情况。督查组具体察看了52家县直单位营商工作组织架构，营商工作方案，听取了营商工作进展情况的汇报，就下一步如何做好营商工作广泛征求各单位主要领导、营商办主任的意见和建议。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b/>
          <w:sz w:val="32"/>
          <w:szCs w:val="32"/>
        </w:rPr>
      </w:pPr>
      <w:r>
        <w:rPr>
          <w:rFonts w:hint="eastAsia" w:ascii="仿宋" w:hAnsi="仿宋" w:eastAsia="仿宋" w:cs="仿宋"/>
          <w:sz w:val="32"/>
          <w:szCs w:val="32"/>
          <w:lang w:eastAsia="zh-CN"/>
        </w:rPr>
        <w:drawing>
          <wp:anchor distT="0" distB="0" distL="114300" distR="114300" simplePos="0" relativeHeight="251660288" behindDoc="0" locked="0" layoutInCell="1" allowOverlap="1">
            <wp:simplePos x="0" y="0"/>
            <wp:positionH relativeFrom="column">
              <wp:posOffset>-74930</wp:posOffset>
            </wp:positionH>
            <wp:positionV relativeFrom="paragraph">
              <wp:posOffset>70485</wp:posOffset>
            </wp:positionV>
            <wp:extent cx="2885440" cy="2323465"/>
            <wp:effectExtent l="0" t="0" r="10160" b="635"/>
            <wp:wrapSquare wrapText="bothSides"/>
            <wp:docPr id="3" name="图片 3"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01"/>
                    <pic:cNvPicPr>
                      <a:picLocks noChangeAspect="1"/>
                    </pic:cNvPicPr>
                  </pic:nvPicPr>
                  <pic:blipFill>
                    <a:blip r:embed="rId6"/>
                    <a:stretch>
                      <a:fillRect/>
                    </a:stretch>
                  </pic:blipFill>
                  <pic:spPr>
                    <a:xfrm>
                      <a:off x="0" y="0"/>
                      <a:ext cx="2885440" cy="2323465"/>
                    </a:xfrm>
                    <a:prstGeom prst="rect">
                      <a:avLst/>
                    </a:prstGeom>
                  </pic:spPr>
                </pic:pic>
              </a:graphicData>
            </a:graphic>
          </wp:anchor>
        </w:drawing>
      </w:r>
      <w:r>
        <w:rPr>
          <w:rFonts w:hint="eastAsia" w:ascii="仿宋" w:hAnsi="仿宋" w:eastAsia="仿宋" w:cs="仿宋"/>
          <w:b/>
          <w:sz w:val="32"/>
          <w:szCs w:val="32"/>
          <w:lang w:val="en-US" w:eastAsia="zh-CN"/>
        </w:rPr>
        <w:t xml:space="preserve">  </w:t>
      </w:r>
      <w:r>
        <w:rPr>
          <w:rFonts w:hint="eastAsia" w:ascii="仿宋" w:hAnsi="仿宋" w:eastAsia="仿宋" w:cs="仿宋"/>
          <w:b/>
          <w:sz w:val="32"/>
          <w:szCs w:val="32"/>
        </w:rPr>
        <w:t>一、营商工作进展情况</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both"/>
        <w:textAlignment w:val="auto"/>
        <w:outlineLvl w:val="9"/>
        <w:rPr>
          <w:rFonts w:hint="eastAsia" w:ascii="仿宋" w:hAnsi="仿宋" w:eastAsia="仿宋" w:cs="仿宋"/>
          <w:sz w:val="32"/>
          <w:szCs w:val="32"/>
        </w:rPr>
      </w:pPr>
      <w:r>
        <w:rPr>
          <w:sz w:val="32"/>
        </w:rPr>
        <mc:AlternateContent>
          <mc:Choice Requires="wps">
            <w:drawing>
              <wp:anchor distT="0" distB="0" distL="114300" distR="114300" simplePos="0" relativeHeight="251661312" behindDoc="0" locked="0" layoutInCell="1" allowOverlap="1">
                <wp:simplePos x="0" y="0"/>
                <wp:positionH relativeFrom="column">
                  <wp:posOffset>-3046095</wp:posOffset>
                </wp:positionH>
                <wp:positionV relativeFrom="paragraph">
                  <wp:posOffset>1673860</wp:posOffset>
                </wp:positionV>
                <wp:extent cx="2986405" cy="449580"/>
                <wp:effectExtent l="4445" t="4445" r="19050" b="22225"/>
                <wp:wrapNone/>
                <wp:docPr id="5" name="文本框 5"/>
                <wp:cNvGraphicFramePr/>
                <a:graphic xmlns:a="http://schemas.openxmlformats.org/drawingml/2006/main">
                  <a:graphicData uri="http://schemas.microsoft.com/office/word/2010/wordprocessingShape">
                    <wps:wsp>
                      <wps:cNvSpPr txBox="1"/>
                      <wps:spPr>
                        <a:xfrm>
                          <a:off x="1979295" y="3460750"/>
                          <a:ext cx="2986405" cy="449580"/>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pPr>
                              <w:rPr>
                                <w:sz w:val="26"/>
                                <w:szCs w:val="26"/>
                              </w:rPr>
                            </w:pPr>
                            <w:r>
                              <w:rPr>
                                <w:rFonts w:hint="eastAsia" w:ascii="仿宋" w:hAnsi="仿宋" w:eastAsia="仿宋" w:cs="仿宋"/>
                                <w:sz w:val="26"/>
                                <w:szCs w:val="26"/>
                                <w:lang w:val="en-US" w:eastAsia="zh-CN"/>
                              </w:rPr>
                              <w:t xml:space="preserve">    </w:t>
                            </w:r>
                            <w:r>
                              <w:rPr>
                                <w:rFonts w:hint="eastAsia" w:ascii="仿宋" w:hAnsi="仿宋" w:eastAsia="仿宋" w:cs="仿宋"/>
                                <w:sz w:val="26"/>
                                <w:szCs w:val="26"/>
                                <w:lang w:eastAsia="zh-CN"/>
                              </w:rPr>
                              <w:t>县营商督查组在统计局进行督查</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39.85pt;margin-top:131.8pt;height:35.4pt;width:235.15pt;z-index:251661312;mso-width-relative:page;mso-height-relative:page;" fillcolor="#FFFFFF [3201]" filled="t" stroked="t" coordsize="21600,21600" o:gfxdata="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JPZtCHaAAAACwEAAA8AAAAAAAAAAQAgAAAAIgAA&#10;AGRycy9kb3ducmV2LnhtbFBLAQIUABQAAAAIAIdO4kAyrH01PwIAAHYEAAAOAAAAAAAAAAEAIAAA&#10;ACkBAABkcnMvZTJvRG9jLnhtbFBLBQYAAAAABgAGAFkBAADaBQAAAAA=&#10;">
                <v:fill on="t" focussize="0,0"/>
                <v:stroke weight="0.5pt" color="#FFFFFF [3212]" joinstyle="round"/>
                <v:imagedata o:title=""/>
                <o:lock v:ext="edit" aspectratio="f"/>
                <v:textbox>
                  <w:txbxContent>
                    <w:p>
                      <w:pPr>
                        <w:rPr>
                          <w:sz w:val="26"/>
                          <w:szCs w:val="26"/>
                        </w:rPr>
                      </w:pPr>
                      <w:r>
                        <w:rPr>
                          <w:rFonts w:hint="eastAsia" w:ascii="仿宋" w:hAnsi="仿宋" w:eastAsia="仿宋" w:cs="仿宋"/>
                          <w:sz w:val="26"/>
                          <w:szCs w:val="26"/>
                          <w:lang w:val="en-US" w:eastAsia="zh-CN"/>
                        </w:rPr>
                        <w:t xml:space="preserve">    </w:t>
                      </w:r>
                      <w:r>
                        <w:rPr>
                          <w:rFonts w:hint="eastAsia" w:ascii="仿宋" w:hAnsi="仿宋" w:eastAsia="仿宋" w:cs="仿宋"/>
                          <w:sz w:val="26"/>
                          <w:szCs w:val="26"/>
                          <w:lang w:eastAsia="zh-CN"/>
                        </w:rPr>
                        <w:t>县营商督查组在统计局进行督查</w:t>
                      </w:r>
                    </w:p>
                  </w:txbxContent>
                </v:textbox>
              </v:shape>
            </w:pict>
          </mc:Fallback>
        </mc:AlternateConten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一）营商工作的组织架构情况。52家县直单位均成立营商环境建设工作领导小组，组长均由主要领导担任，副职领导为营商办主任，设立营商联络员，责任细化到每一个科室，每一个人，为营商环境建设提供组织保障。其中国税局、市场监督管理局、司法局还以局机关文件形式下发到基层部门。</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二）扎实推进营商工作。各单位均制定了本单位的优化营商环境工作实施方案，明确营商工作目标，并按照全县营商工作统一安排进度开展相关工作。其中发改局、物价局、地税局对照本系统各项营商工作提前部署，提前落实，提前完成工作任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三）“7+5”行动整治情况。7个行动组牵头单位分别按照《清原县全面优化公共服务打造一流营商环境专项整治行动方案》和《清原满族自治县优化营商环境的意见》召开了专项会议，确定了2017年重点工作，并将重点任务进行分解，落到各成员单位； 5个专项整治行动牵头部门也全面开展专项整治行动，现已进入第二阶段的第一步即自查自纠，正督促各成员单位对照专项整治方案内容，彻底排查问题，形成问题清单、措施清单，建立台账制度。其中法制办召开“三乱”整治专项工作会，聘请优化营商环境监督员104人，建立有效的营商监督机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 w:hAnsi="仿宋" w:eastAsia="仿宋" w:cs="仿宋"/>
          <w:b/>
          <w:sz w:val="32"/>
          <w:szCs w:val="32"/>
        </w:rPr>
      </w:pPr>
      <w:r>
        <w:rPr>
          <w:rFonts w:hint="eastAsia" w:ascii="仿宋" w:hAnsi="仿宋" w:eastAsia="仿宋" w:cs="仿宋"/>
          <w:b/>
          <w:sz w:val="32"/>
          <w:szCs w:val="32"/>
        </w:rPr>
        <w:t>二、取得的成效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（一）</w:t>
      </w:r>
      <w:r>
        <w:rPr>
          <w:rFonts w:hint="eastAsia" w:ascii="仿宋" w:hAnsi="仿宋" w:eastAsia="仿宋" w:cs="仿宋"/>
          <w:b/>
          <w:sz w:val="32"/>
          <w:szCs w:val="32"/>
        </w:rPr>
        <w:t>领导干部对优化营商环境重要性的认识有了进一步提高，抓好营商工作的自觉性不断增强，逐步形成共识。</w:t>
      </w:r>
      <w:r>
        <w:rPr>
          <w:rFonts w:hint="eastAsia" w:ascii="仿宋" w:hAnsi="仿宋" w:eastAsia="仿宋" w:cs="仿宋"/>
          <w:sz w:val="32"/>
          <w:szCs w:val="32"/>
        </w:rPr>
        <w:t>一是营商就是要约束公权力，改善政府监管；二是从政府部门与企业关系来说，政府部门承担的营商可以分为直接营商和间接营商，有的是直接为企业服务，有的是间接规范企业行为，有的既监管又服务，各单位要做好营商工作，就要做到“四个对标”即对标沈阳、抚顺先进作法，对标全县重点、难点工作，对标本系统要求，对标本部门职能，特别是要与本部门工作紧密结合起来。统计局局长姜兆军在谈到统计局如何参与营商工作时认为，要将统计工作与营商工作揉在一起落实，用大数据说话；国税局副局长孟瑛楠认为，我们现在做工作时刻都要拉紧“营商”这根弦，怎么做？底线就是不能破坏营商环境；司法局法援中心主任胡晓岩认为，从承担营商工作的量上看，营商可分为主力军和助力军，我们司法局就是一支强有力的助力军，坚决要为全县营商作好法律服务和保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 w:hAnsi="仿宋" w:eastAsia="仿宋" w:cs="仿宋"/>
          <w:b/>
          <w:sz w:val="32"/>
          <w:szCs w:val="32"/>
        </w:rPr>
      </w:pPr>
      <w:r>
        <w:rPr>
          <w:rFonts w:hint="eastAsia" w:ascii="仿宋" w:hAnsi="仿宋" w:eastAsia="仿宋" w:cs="仿宋"/>
          <w:b/>
          <w:sz w:val="32"/>
          <w:szCs w:val="32"/>
        </w:rPr>
        <w:t>（二）营商工作机制基本建立，各单位立足本职，围绕全县营商重点任务有序开展工作。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 w:hAnsi="仿宋" w:eastAsia="仿宋" w:cs="仿宋"/>
          <w:bCs/>
          <w:color w:val="000000"/>
          <w:kern w:val="0"/>
          <w:sz w:val="32"/>
          <w:szCs w:val="32"/>
        </w:rPr>
      </w:pPr>
      <w:r>
        <w:rPr>
          <w:rFonts w:hint="eastAsia" w:ascii="仿宋" w:hAnsi="仿宋" w:eastAsia="仿宋" w:cs="仿宋"/>
          <w:b/>
          <w:sz w:val="32"/>
          <w:szCs w:val="32"/>
        </w:rPr>
        <w:t>――县编委办</w:t>
      </w:r>
      <w:r>
        <w:rPr>
          <w:rFonts w:hint="eastAsia" w:ascii="仿宋" w:hAnsi="仿宋" w:eastAsia="仿宋" w:cs="仿宋"/>
          <w:bCs/>
          <w:color w:val="000000"/>
          <w:kern w:val="0"/>
          <w:sz w:val="32"/>
          <w:szCs w:val="32"/>
        </w:rPr>
        <w:t>厘清各部门权力边界，推动</w:t>
      </w:r>
      <w:r>
        <w:rPr>
          <w:rFonts w:hint="eastAsia" w:ascii="仿宋" w:hAnsi="仿宋" w:eastAsia="仿宋" w:cs="仿宋"/>
          <w:sz w:val="32"/>
          <w:szCs w:val="32"/>
        </w:rPr>
        <w:t>政府转变职能、简政放权。</w:t>
      </w:r>
      <w:r>
        <w:rPr>
          <w:rFonts w:hint="eastAsia" w:ascii="仿宋" w:hAnsi="仿宋" w:eastAsia="仿宋" w:cs="仿宋"/>
          <w:bCs/>
          <w:color w:val="000000"/>
          <w:kern w:val="0"/>
          <w:sz w:val="32"/>
          <w:szCs w:val="32"/>
        </w:rPr>
        <w:t>目前，我县权责清单上共</w:t>
      </w:r>
      <w:r>
        <w:rPr>
          <w:rFonts w:hint="eastAsia" w:ascii="仿宋" w:hAnsi="仿宋" w:eastAsia="仿宋" w:cs="仿宋"/>
          <w:sz w:val="32"/>
          <w:szCs w:val="32"/>
        </w:rPr>
        <w:t>有</w:t>
      </w:r>
      <w:bookmarkStart w:id="0" w:name="OLE_LINK1"/>
      <w:r>
        <w:rPr>
          <w:rFonts w:hint="eastAsia" w:ascii="仿宋" w:hAnsi="仿宋" w:eastAsia="仿宋" w:cs="仿宋"/>
          <w:sz w:val="32"/>
          <w:szCs w:val="32"/>
        </w:rPr>
        <w:t>行政权力1116项</w:t>
      </w:r>
      <w:bookmarkEnd w:id="0"/>
      <w:r>
        <w:rPr>
          <w:rFonts w:hint="eastAsia" w:ascii="仿宋" w:hAnsi="仿宋" w:eastAsia="仿宋" w:cs="仿宋"/>
          <w:bCs/>
          <w:color w:val="000000"/>
          <w:kern w:val="0"/>
          <w:sz w:val="32"/>
          <w:szCs w:val="32"/>
        </w:rPr>
        <w:t>，有效遏制权力滥用和懒政怠政等行为；</w:t>
      </w:r>
      <w:r>
        <w:rPr>
          <w:rFonts w:hint="eastAsia" w:ascii="仿宋" w:hAnsi="仿宋" w:eastAsia="仿宋" w:cs="仿宋"/>
          <w:sz w:val="32"/>
          <w:szCs w:val="32"/>
        </w:rPr>
        <w:t>集中开展行政职权进驻办事大厅集中办理工作，为贯彻</w:t>
      </w:r>
      <w:r>
        <w:rPr>
          <w:rFonts w:hint="eastAsia" w:ascii="仿宋" w:hAnsi="仿宋" w:eastAsia="仿宋" w:cs="仿宋"/>
          <w:bCs/>
          <w:color w:val="000000"/>
          <w:kern w:val="0"/>
          <w:sz w:val="32"/>
          <w:szCs w:val="32"/>
        </w:rPr>
        <w:t xml:space="preserve"> “两集中、两到位”行政审批改革工作，</w:t>
      </w:r>
      <w:r>
        <w:rPr>
          <w:rFonts w:hint="eastAsia" w:ascii="仿宋" w:hAnsi="仿宋" w:eastAsia="仿宋" w:cs="仿宋"/>
          <w:sz w:val="32"/>
          <w:szCs w:val="32"/>
        </w:rPr>
        <w:t>做到“一个窗口受理，内部运转一站式办结”打下坚实的基础。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 w:hAnsi="仿宋" w:eastAsia="仿宋" w:cs="仿宋"/>
          <w:sz w:val="32"/>
          <w:szCs w:val="32"/>
        </w:rPr>
      </w:pPr>
      <w:r>
        <w:rPr>
          <w:rFonts w:hint="eastAsia" w:ascii="仿宋" w:hAnsi="仿宋" w:eastAsia="仿宋" w:cs="仿宋"/>
          <w:b/>
          <w:sz w:val="32"/>
          <w:szCs w:val="32"/>
        </w:rPr>
        <w:t>――</w:t>
      </w:r>
      <w:r>
        <w:rPr>
          <w:rFonts w:hint="eastAsia" w:ascii="仿宋" w:hAnsi="仿宋" w:eastAsia="仿宋" w:cs="仿宋"/>
          <w:b/>
          <w:sz w:val="32"/>
          <w:szCs w:val="32"/>
          <w:lang w:val="zh-CN"/>
        </w:rPr>
        <w:t>县发改局、审批服务局、城建局、国土局、环保局</w:t>
      </w:r>
      <w:r>
        <w:rPr>
          <w:rFonts w:hint="eastAsia" w:ascii="仿宋" w:hAnsi="仿宋" w:eastAsia="仿宋" w:cs="仿宋"/>
          <w:sz w:val="32"/>
          <w:szCs w:val="32"/>
          <w:lang w:val="zh-CN"/>
        </w:rPr>
        <w:t>等13个部门</w:t>
      </w:r>
      <w:r>
        <w:rPr>
          <w:rFonts w:hint="eastAsia" w:ascii="仿宋" w:hAnsi="仿宋" w:eastAsia="仿宋" w:cs="仿宋"/>
          <w:sz w:val="32"/>
          <w:szCs w:val="32"/>
          <w:lang w:val="en-US" w:eastAsia="zh-CN"/>
        </w:rPr>
        <w:t>认真落实</w:t>
      </w:r>
      <w:r>
        <w:rPr>
          <w:rFonts w:hint="eastAsia" w:ascii="仿宋" w:hAnsi="仿宋" w:eastAsia="仿宋" w:cs="仿宋"/>
          <w:sz w:val="32"/>
          <w:szCs w:val="32"/>
        </w:rPr>
        <w:t>《辽宁省投资项目在线审批监管平台》</w:t>
      </w:r>
      <w:r>
        <w:rPr>
          <w:rFonts w:hint="eastAsia" w:ascii="仿宋" w:hAnsi="仿宋" w:eastAsia="仿宋" w:cs="仿宋"/>
          <w:sz w:val="32"/>
          <w:szCs w:val="32"/>
          <w:lang w:val="en-US" w:eastAsia="zh-CN"/>
        </w:rPr>
        <w:t>要求，</w:t>
      </w:r>
      <w:r>
        <w:rPr>
          <w:rFonts w:hint="eastAsia" w:ascii="仿宋" w:hAnsi="仿宋" w:eastAsia="仿宋" w:cs="仿宋"/>
          <w:sz w:val="32"/>
          <w:szCs w:val="32"/>
        </w:rPr>
        <w:t>将原有的串联审批变更为并联审批，</w:t>
      </w:r>
      <w:r>
        <w:rPr>
          <w:rFonts w:hint="eastAsia" w:ascii="仿宋" w:hAnsi="仿宋" w:eastAsia="仿宋" w:cs="仿宋"/>
          <w:sz w:val="32"/>
          <w:szCs w:val="32"/>
          <w:lang w:val="en-US" w:eastAsia="zh-CN"/>
        </w:rPr>
        <w:t>依照</w:t>
      </w:r>
      <w:r>
        <w:rPr>
          <w:rFonts w:hint="eastAsia" w:ascii="仿宋" w:hAnsi="仿宋" w:eastAsia="仿宋" w:cs="仿宋"/>
          <w:sz w:val="32"/>
          <w:szCs w:val="32"/>
        </w:rPr>
        <w:t>《建设工程项目审批流程图》</w:t>
      </w:r>
      <w:r>
        <w:rPr>
          <w:rFonts w:hint="eastAsia" w:ascii="仿宋" w:hAnsi="仿宋" w:eastAsia="仿宋" w:cs="仿宋"/>
          <w:sz w:val="32"/>
          <w:szCs w:val="32"/>
          <w:lang w:val="en-US" w:eastAsia="zh-CN"/>
        </w:rPr>
        <w:t>实行网上审批，</w:t>
      </w:r>
      <w:r>
        <w:rPr>
          <w:rFonts w:hint="eastAsia" w:ascii="仿宋" w:hAnsi="仿宋" w:eastAsia="仿宋" w:cs="仿宋"/>
          <w:sz w:val="32"/>
          <w:szCs w:val="32"/>
        </w:rPr>
        <w:t>缩短了建设项目审批时间。如县环保局已开通环评项目网上审批业务，实行网上备案的建设项目环境影响登记表项目29个，网上审批建设项目环境影响报告书项目1个。</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 w:hAnsi="仿宋" w:eastAsia="仿宋" w:cs="仿宋"/>
          <w:sz w:val="32"/>
          <w:szCs w:val="32"/>
          <w:lang w:val="zh-CN"/>
        </w:rPr>
      </w:pPr>
      <w:r>
        <w:rPr>
          <w:rFonts w:hint="eastAsia" w:ascii="仿宋" w:hAnsi="仿宋" w:eastAsia="仿宋" w:cs="仿宋"/>
          <w:b/>
          <w:sz w:val="32"/>
          <w:szCs w:val="32"/>
        </w:rPr>
        <w:t>――物价局、财政局、法制办</w:t>
      </w:r>
      <w:r>
        <w:rPr>
          <w:rFonts w:hint="eastAsia" w:ascii="仿宋" w:hAnsi="仿宋" w:eastAsia="仿宋" w:cs="仿宋"/>
          <w:sz w:val="32"/>
          <w:szCs w:val="32"/>
        </w:rPr>
        <w:t>等部门针对各系统、各行业、各领域开展专项整治行动。其中，</w:t>
      </w:r>
      <w:r>
        <w:rPr>
          <w:rFonts w:hint="eastAsia" w:ascii="仿宋" w:hAnsi="仿宋" w:eastAsia="仿宋" w:cs="仿宋"/>
          <w:sz w:val="32"/>
          <w:szCs w:val="32"/>
          <w:lang w:val="zh-CN"/>
        </w:rPr>
        <w:t>对照国务院和省、市政府工作要求，</w:t>
      </w:r>
      <w:r>
        <w:rPr>
          <w:rFonts w:hint="eastAsia" w:ascii="仿宋" w:hAnsi="仿宋" w:eastAsia="仿宋" w:cs="仿宋"/>
          <w:spacing w:val="4"/>
          <w:sz w:val="32"/>
          <w:szCs w:val="32"/>
        </w:rPr>
        <w:t>对</w:t>
      </w:r>
      <w:r>
        <w:rPr>
          <w:rFonts w:hint="eastAsia" w:ascii="仿宋" w:hAnsi="仿宋" w:eastAsia="仿宋" w:cs="仿宋"/>
          <w:sz w:val="32"/>
          <w:szCs w:val="32"/>
          <w:lang w:val="zh-CN"/>
        </w:rPr>
        <w:t>各部门在行政审批工作中出现的各类中介服务加以清理和规范，共整理出审批工作中出现的中介服务项目共31项,并在县政府网站中公示。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 w:hAnsi="仿宋" w:eastAsia="仿宋" w:cs="仿宋"/>
          <w:sz w:val="32"/>
          <w:szCs w:val="32"/>
          <w:lang w:val="zh-CN"/>
        </w:rPr>
      </w:pPr>
      <w:r>
        <w:rPr>
          <w:rFonts w:hint="eastAsia" w:ascii="仿宋" w:hAnsi="仿宋" w:eastAsia="仿宋" w:cs="仿宋"/>
          <w:b/>
          <w:sz w:val="32"/>
          <w:szCs w:val="32"/>
          <w:lang w:val="zh-CN"/>
        </w:rPr>
        <w:t>――城建局、国土局、卫计局、林业局、动监局</w:t>
      </w:r>
      <w:r>
        <w:rPr>
          <w:rFonts w:hint="eastAsia" w:ascii="仿宋" w:hAnsi="仿宋" w:eastAsia="仿宋" w:cs="仿宋"/>
          <w:sz w:val="32"/>
          <w:szCs w:val="32"/>
          <w:lang w:val="zh-CN"/>
        </w:rPr>
        <w:t>等部门全面梳理行政审批事项，优化审批流程，提高审批效率。其中动监局原有行政权力134项，减少到49项。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 w:hAnsi="仿宋" w:eastAsia="仿宋" w:cs="仿宋"/>
          <w:sz w:val="32"/>
          <w:szCs w:val="32"/>
        </w:rPr>
      </w:pPr>
      <w:r>
        <w:rPr>
          <w:rFonts w:hint="eastAsia" w:ascii="仿宋" w:hAnsi="仿宋" w:eastAsia="仿宋" w:cs="仿宋"/>
          <w:b/>
          <w:sz w:val="32"/>
          <w:szCs w:val="32"/>
          <w:lang w:val="zh-CN"/>
        </w:rPr>
        <w:t>――宣传部、广电局：</w:t>
      </w:r>
      <w:r>
        <w:rPr>
          <w:rFonts w:hint="eastAsia" w:ascii="仿宋" w:hAnsi="仿宋" w:eastAsia="仿宋" w:cs="仿宋"/>
          <w:sz w:val="32"/>
          <w:szCs w:val="32"/>
          <w:lang w:val="zh-CN"/>
        </w:rPr>
        <w:t>充分发挥宣传陈地作用，全方位、多层次、多领域、系统化的宣传营商，积极营商“人人关心营商环境、人人维护营商环境”的良好舆论氛围。其中宣传部通过市级媒体发稿11次（包括抚顺日报1个专版），县级媒体发稿45次，广电局通过电视宣传8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 w:hAnsi="仿宋" w:eastAsia="仿宋" w:cs="仿宋"/>
          <w:sz w:val="32"/>
          <w:szCs w:val="32"/>
        </w:rPr>
      </w:pPr>
      <w:r>
        <w:rPr>
          <w:rFonts w:hint="eastAsia" w:ascii="仿宋" w:hAnsi="仿宋" w:eastAsia="仿宋" w:cs="仿宋"/>
          <w:b/>
          <w:bCs/>
          <w:color w:val="000000"/>
          <w:kern w:val="0"/>
          <w:sz w:val="32"/>
          <w:szCs w:val="32"/>
        </w:rPr>
        <w:t>――政务公开办</w:t>
      </w:r>
      <w:r>
        <w:rPr>
          <w:rFonts w:hint="eastAsia" w:ascii="仿宋" w:hAnsi="仿宋" w:eastAsia="仿宋" w:cs="仿宋"/>
          <w:color w:val="000000"/>
          <w:kern w:val="0"/>
          <w:sz w:val="32"/>
          <w:szCs w:val="32"/>
        </w:rPr>
        <w:t>搭建网上政务服务平台和政务信息共享交换平台即 “互联网+政务服务”，推动服务事项网上办理，最大程度利企便民，让企业和群众少跑腿、好办事、不添堵。</w:t>
      </w:r>
      <w:r>
        <w:rPr>
          <w:rFonts w:hint="eastAsia" w:ascii="仿宋" w:hAnsi="仿宋" w:eastAsia="仿宋" w:cs="仿宋"/>
          <w:sz w:val="32"/>
          <w:szCs w:val="32"/>
        </w:rPr>
        <w:t>通过政府网站及时公开了各部门重点领域信息100余条。其中，“双随机、一公开”69条；食药安全领域7条；环境保护领域13条；公共服务领域13条；重大项目领域10条；公共资源领域9条。有效的增强了营商环境的透明度，对诚信政府、权力运行和重点领域公开起到积极的推动作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 w:hAnsi="仿宋" w:eastAsia="仿宋" w:cs="仿宋"/>
          <w:sz w:val="32"/>
          <w:szCs w:val="32"/>
        </w:rPr>
      </w:pPr>
      <w:r>
        <w:rPr>
          <w:rFonts w:hint="eastAsia" w:ascii="仿宋" w:hAnsi="仿宋" w:eastAsia="仿宋" w:cs="仿宋"/>
          <w:b/>
          <w:sz w:val="32"/>
          <w:szCs w:val="32"/>
        </w:rPr>
        <w:t>――市场监督管理局</w:t>
      </w:r>
      <w:r>
        <w:rPr>
          <w:rFonts w:hint="eastAsia" w:ascii="仿宋" w:hAnsi="仿宋" w:eastAsia="仿宋" w:cs="仿宋"/>
          <w:sz w:val="32"/>
          <w:szCs w:val="32"/>
        </w:rPr>
        <w:t>不断深化商事制度改革，落实“五证合一、一照一码”和个体工商户“两证整合”登记制度改革，落实先照后证、“一址多照”、工商登记“双告知”等工作制度。通过商事制度改革，降低了市场准入门槛，激发了市场活力，全县各类市场主体有了明显增长，1-5月份新办企业149户，同比增长38%；个体工商户791户，同比增长28%；农民专业合作社107户，同比增长174%；针对企业注册、登记等环节，做到手续齐全马上办，缺少材料指导办，特殊项目跟踪办，紧急事项延时办，利用“小微企业名录”，扩大扶持政策辐射面，为小微企业创业、融资、宣传提供有效平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 w:hAnsi="仿宋" w:eastAsia="仿宋" w:cs="仿宋"/>
          <w:sz w:val="32"/>
          <w:szCs w:val="32"/>
        </w:rPr>
      </w:pPr>
      <w:r>
        <w:rPr>
          <w:rFonts w:hint="eastAsia" w:ascii="仿宋" w:hAnsi="仿宋" w:eastAsia="仿宋" w:cs="仿宋"/>
          <w:b/>
          <w:sz w:val="32"/>
          <w:szCs w:val="32"/>
        </w:rPr>
        <w:t>――国税、地税局：</w:t>
      </w:r>
      <w:r>
        <w:rPr>
          <w:rFonts w:hint="eastAsia" w:ascii="仿宋" w:hAnsi="仿宋" w:eastAsia="仿宋" w:cs="仿宋"/>
          <w:sz w:val="32"/>
          <w:szCs w:val="32"/>
        </w:rPr>
        <w:t>在抚顺地区首先组建了以联合办税服务大厅为依托全面落实国地税合署办公，国税局也在抚顺地区实现“一窗通办”，地税局通过“一日企业服务员”活动，为企业提供最便捷的税收服务。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 w:hAnsi="仿宋" w:eastAsia="仿宋" w:cs="仿宋"/>
          <w:sz w:val="32"/>
          <w:szCs w:val="32"/>
        </w:rPr>
      </w:pPr>
      <w:r>
        <w:rPr>
          <w:rFonts w:hint="eastAsia" w:ascii="仿宋" w:hAnsi="仿宋" w:eastAsia="仿宋" w:cs="仿宋"/>
          <w:b/>
          <w:sz w:val="32"/>
          <w:szCs w:val="32"/>
        </w:rPr>
        <w:t>――法院：</w:t>
      </w:r>
      <w:r>
        <w:rPr>
          <w:rFonts w:hint="eastAsia" w:ascii="仿宋" w:hAnsi="仿宋" w:eastAsia="仿宋" w:cs="仿宋"/>
          <w:sz w:val="32"/>
          <w:szCs w:val="32"/>
        </w:rPr>
        <w:t xml:space="preserve"> 切实解决执行难，建立以法官为主导、执行干警配合、司法警力保障的执行团队，健全执行人及执行财产发现机制，强化执行威慑，推进完善失信被字形容名单数据库建设，促进社会诚信体系建设。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 w:hAnsi="仿宋" w:eastAsia="仿宋" w:cs="仿宋"/>
          <w:sz w:val="32"/>
          <w:szCs w:val="32"/>
        </w:rPr>
      </w:pPr>
      <w:r>
        <w:rPr>
          <w:rFonts w:hint="eastAsia" w:ascii="仿宋" w:hAnsi="仿宋" w:eastAsia="仿宋" w:cs="仿宋"/>
          <w:b/>
          <w:sz w:val="32"/>
          <w:szCs w:val="32"/>
        </w:rPr>
        <w:t>――综合执法局：</w:t>
      </w:r>
      <w:r>
        <w:rPr>
          <w:rFonts w:hint="eastAsia" w:ascii="仿宋" w:hAnsi="仿宋" w:eastAsia="仿宋" w:cs="仿宋"/>
          <w:sz w:val="32"/>
          <w:szCs w:val="32"/>
        </w:rPr>
        <w:t>加强市场监管，规范商户经营秩序，拆除私搭乱建，打造优良的人居环境。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b/>
          <w:sz w:val="32"/>
          <w:szCs w:val="32"/>
          <w:lang w:eastAsia="zh-CN"/>
        </w:rPr>
        <w:drawing>
          <wp:anchor distT="0" distB="0" distL="114300" distR="114300" simplePos="0" relativeHeight="251659264" behindDoc="0" locked="0" layoutInCell="1" allowOverlap="1">
            <wp:simplePos x="0" y="0"/>
            <wp:positionH relativeFrom="column">
              <wp:posOffset>0</wp:posOffset>
            </wp:positionH>
            <wp:positionV relativeFrom="paragraph">
              <wp:posOffset>85725</wp:posOffset>
            </wp:positionV>
            <wp:extent cx="2632075" cy="1975485"/>
            <wp:effectExtent l="0" t="0" r="15875" b="5715"/>
            <wp:wrapSquare wrapText="bothSides"/>
            <wp:docPr id="2" name="图片 2" desc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02"/>
                    <pic:cNvPicPr>
                      <a:picLocks noChangeAspect="1"/>
                    </pic:cNvPicPr>
                  </pic:nvPicPr>
                  <pic:blipFill>
                    <a:blip r:embed="rId7"/>
                    <a:stretch>
                      <a:fillRect/>
                    </a:stretch>
                  </pic:blipFill>
                  <pic:spPr>
                    <a:xfrm>
                      <a:off x="0" y="0"/>
                      <a:ext cx="2632075" cy="1975485"/>
                    </a:xfrm>
                    <a:prstGeom prst="rect">
                      <a:avLst/>
                    </a:prstGeom>
                  </pic:spPr>
                </pic:pic>
              </a:graphicData>
            </a:graphic>
          </wp:anchor>
        </w:drawing>
      </w:r>
      <w:r>
        <w:rPr>
          <w:rFonts w:hint="eastAsia" w:ascii="仿宋" w:hAnsi="仿宋" w:eastAsia="仿宋" w:cs="仿宋"/>
          <w:b/>
          <w:sz w:val="32"/>
          <w:szCs w:val="32"/>
          <w:lang w:val="en-US" w:eastAsia="zh-CN"/>
        </w:rPr>
        <w:t xml:space="preserve">    </w:t>
      </w:r>
      <w:r>
        <w:rPr>
          <w:rFonts w:hint="eastAsia" w:ascii="仿宋" w:hAnsi="仿宋" w:eastAsia="仿宋" w:cs="仿宋"/>
          <w:b/>
          <w:sz w:val="32"/>
          <w:szCs w:val="32"/>
        </w:rPr>
        <w:t>――人社局：</w:t>
      </w:r>
      <w:r>
        <w:rPr>
          <w:rFonts w:hint="eastAsia" w:ascii="仿宋" w:hAnsi="仿宋" w:eastAsia="仿宋" w:cs="仿宋"/>
          <w:sz w:val="32"/>
          <w:szCs w:val="32"/>
        </w:rPr>
        <w:t>充分发挥劳动监查职能，打造一流的用工环境。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 w:hAnsi="仿宋" w:eastAsia="仿宋" w:cs="仿宋"/>
          <w:sz w:val="32"/>
          <w:szCs w:val="32"/>
        </w:rPr>
      </w:pPr>
      <w:r>
        <w:rPr>
          <w:sz w:val="28"/>
        </w:rPr>
        <mc:AlternateContent>
          <mc:Choice Requires="wps">
            <w:drawing>
              <wp:anchor distT="0" distB="0" distL="114300" distR="114300" simplePos="0" relativeHeight="251662336" behindDoc="0" locked="0" layoutInCell="1" allowOverlap="1">
                <wp:simplePos x="0" y="0"/>
                <wp:positionH relativeFrom="column">
                  <wp:posOffset>-2803525</wp:posOffset>
                </wp:positionH>
                <wp:positionV relativeFrom="paragraph">
                  <wp:posOffset>924560</wp:posOffset>
                </wp:positionV>
                <wp:extent cx="2776855" cy="385445"/>
                <wp:effectExtent l="4445" t="4445" r="19050" b="10160"/>
                <wp:wrapNone/>
                <wp:docPr id="7" name="文本框 7"/>
                <wp:cNvGraphicFramePr/>
                <a:graphic xmlns:a="http://schemas.openxmlformats.org/drawingml/2006/main">
                  <a:graphicData uri="http://schemas.microsoft.com/office/word/2010/wordprocessingShape">
                    <wps:wsp>
                      <wps:cNvSpPr txBox="1"/>
                      <wps:spPr>
                        <a:xfrm>
                          <a:off x="1164590" y="8420100"/>
                          <a:ext cx="2776855" cy="385445"/>
                        </a:xfrm>
                        <a:prstGeom prst="rect">
                          <a:avLst/>
                        </a:prstGeom>
                        <a:solidFill>
                          <a:schemeClr val="bg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pPr>
                              <w:rPr>
                                <w:b w:val="0"/>
                                <w:bCs/>
                              </w:rPr>
                            </w:pPr>
                            <w:r>
                              <w:rPr>
                                <w:rFonts w:hint="eastAsia" w:ascii="仿宋" w:hAnsi="仿宋" w:eastAsia="仿宋" w:cs="仿宋"/>
                                <w:b w:val="0"/>
                                <w:bCs/>
                                <w:sz w:val="28"/>
                                <w:szCs w:val="28"/>
                                <w:lang w:val="en-US" w:eastAsia="zh-CN"/>
                              </w:rPr>
                              <w:t>县营商督查组在人社局进行督查</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0.75pt;margin-top:72.8pt;height:30.35pt;width:218.65pt;z-index:251662336;mso-width-relative:page;mso-height-relative:page;" fillcolor="#FFFFFF [3212]" filled="t" stroked="t" coordsize="21600,21600" o:gfxdata="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Ly2OprYAAAACwEAAA8AAAAAAAAAAQAgAAAAIgAA&#10;AGRycy9kb3ducmV2LnhtbFBLAQIUABQAAAAIAIdO4kDry1fzQQIAAHYEAAAOAAAAAAAAAAEAIAAA&#10;ACcBAABkcnMvZTJvRG9jLnhtbFBLBQYAAAAABgAGAFkBAADaBQAAAAA=&#10;">
                <v:fill on="t" focussize="0,0"/>
                <v:stroke weight="0.5pt" color="#FFFFFF [3212]" joinstyle="round"/>
                <v:imagedata o:title=""/>
                <o:lock v:ext="edit" aspectratio="f"/>
                <v:textbox>
                  <w:txbxContent>
                    <w:p>
                      <w:pPr>
                        <w:rPr>
                          <w:b w:val="0"/>
                          <w:bCs/>
                        </w:rPr>
                      </w:pPr>
                      <w:r>
                        <w:rPr>
                          <w:rFonts w:hint="eastAsia" w:ascii="仿宋" w:hAnsi="仿宋" w:eastAsia="仿宋" w:cs="仿宋"/>
                          <w:b w:val="0"/>
                          <w:bCs/>
                          <w:sz w:val="28"/>
                          <w:szCs w:val="28"/>
                          <w:lang w:val="en-US" w:eastAsia="zh-CN"/>
                        </w:rPr>
                        <w:t>县营商督查组在人社局进行督查</w:t>
                      </w:r>
                    </w:p>
                  </w:txbxContent>
                </v:textbox>
              </v:shape>
            </w:pict>
          </mc:Fallback>
        </mc:AlternateContent>
      </w:r>
      <w:r>
        <w:rPr>
          <w:rFonts w:hint="eastAsia" w:ascii="仿宋" w:hAnsi="仿宋" w:eastAsia="仿宋" w:cs="仿宋"/>
          <w:b/>
          <w:sz w:val="32"/>
          <w:szCs w:val="32"/>
          <w:lang w:val="en-US" w:eastAsia="zh-CN"/>
        </w:rPr>
        <w:t xml:space="preserve">    </w:t>
      </w:r>
      <w:r>
        <w:rPr>
          <w:rFonts w:hint="eastAsia" w:ascii="仿宋" w:hAnsi="仿宋" w:eastAsia="仿宋" w:cs="仿宋"/>
          <w:b/>
          <w:sz w:val="32"/>
          <w:szCs w:val="32"/>
        </w:rPr>
        <w:t>――</w:t>
      </w:r>
      <w:r>
        <w:rPr>
          <w:rFonts w:hint="eastAsia" w:ascii="仿宋" w:hAnsi="仿宋" w:eastAsia="仿宋" w:cs="仿宋"/>
          <w:b/>
          <w:sz w:val="32"/>
          <w:szCs w:val="32"/>
          <w:lang w:val="en-US" w:eastAsia="zh-CN"/>
        </w:rPr>
        <w:t>检察院</w:t>
      </w:r>
      <w:bookmarkStart w:id="1" w:name="_GoBack"/>
      <w:bookmarkEnd w:id="1"/>
      <w:r>
        <w:rPr>
          <w:rFonts w:hint="eastAsia" w:ascii="仿宋" w:hAnsi="仿宋" w:eastAsia="仿宋" w:cs="仿宋"/>
          <w:b/>
          <w:sz w:val="32"/>
          <w:szCs w:val="32"/>
        </w:rPr>
        <w:t>：</w:t>
      </w:r>
      <w:r>
        <w:rPr>
          <w:rFonts w:hint="eastAsia" w:ascii="仿宋" w:hAnsi="仿宋" w:eastAsia="仿宋" w:cs="仿宋"/>
          <w:sz w:val="32"/>
          <w:szCs w:val="32"/>
        </w:rPr>
        <w:t>与抽水蓄能电站项目开展检企共建，预防职务犯罪。</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b/>
          <w:bCs w:val="0"/>
          <w:sz w:val="28"/>
          <w:szCs w:val="28"/>
          <w:lang w:val="en-US" w:eastAsia="zh-CN"/>
        </w:rPr>
        <w:t xml:space="preserve">                                   </w:t>
      </w:r>
      <w:r>
        <w:rPr>
          <w:rFonts w:hint="eastAsia" w:ascii="仿宋" w:hAnsi="仿宋" w:eastAsia="仿宋" w:cs="仿宋"/>
          <w:b/>
          <w:sz w:val="32"/>
          <w:szCs w:val="32"/>
        </w:rPr>
        <w:t>――发改局：</w:t>
      </w:r>
      <w:r>
        <w:rPr>
          <w:rFonts w:hint="eastAsia" w:ascii="仿宋" w:hAnsi="仿宋" w:eastAsia="仿宋" w:cs="仿宋"/>
          <w:sz w:val="32"/>
          <w:szCs w:val="32"/>
        </w:rPr>
        <w:t>建立失信企业档案，建设信息查询系统，对社会公开。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 w:hAnsi="仿宋" w:eastAsia="仿宋" w:cs="仿宋"/>
          <w:sz w:val="32"/>
          <w:szCs w:val="32"/>
        </w:rPr>
      </w:pPr>
      <w:r>
        <w:rPr>
          <w:rFonts w:hint="eastAsia" w:ascii="仿宋" w:hAnsi="仿宋" w:eastAsia="仿宋" w:cs="仿宋"/>
          <w:b/>
          <w:sz w:val="32"/>
          <w:szCs w:val="32"/>
        </w:rPr>
        <w:t>――教育局：</w:t>
      </w:r>
      <w:r>
        <w:rPr>
          <w:rFonts w:hint="eastAsia" w:ascii="仿宋" w:hAnsi="仿宋" w:eastAsia="仿宋" w:cs="仿宋"/>
          <w:sz w:val="32"/>
          <w:szCs w:val="32"/>
        </w:rPr>
        <w:t>积极为外来务工人员解决子女上学问题。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 w:hAnsi="仿宋" w:eastAsia="仿宋" w:cs="仿宋"/>
          <w:b/>
          <w:sz w:val="32"/>
          <w:szCs w:val="32"/>
        </w:rPr>
      </w:pPr>
      <w:r>
        <w:rPr>
          <w:rFonts w:hint="eastAsia" w:ascii="仿宋" w:hAnsi="仿宋" w:eastAsia="仿宋" w:cs="仿宋"/>
          <w:b/>
          <w:sz w:val="32"/>
          <w:szCs w:val="32"/>
        </w:rPr>
        <w:t>三、存在的问题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（一）有些单位对营商工作重要性认识不深，如何处理好营商与本职工作的关系不清，落实营商工作没有思路，缺少具体工作内容。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（二）有些单位营商工作还浮在表面，没有具体工作措施；有些单位虽有措施但缺乏实质内容。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（三）营商工作机制缺乏系统性，相关制度还落实不到位。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0"/>
        <w:jc w:val="both"/>
        <w:textAlignment w:val="auto"/>
        <w:outlineLvl w:val="9"/>
        <w:rPr>
          <w:rFonts w:hint="eastAsia" w:ascii="仿宋" w:hAnsi="仿宋" w:eastAsia="仿宋" w:cs="仿宋"/>
          <w:b/>
          <w:sz w:val="32"/>
          <w:szCs w:val="32"/>
        </w:rPr>
      </w:pPr>
      <w:r>
        <w:rPr>
          <w:rFonts w:hint="eastAsia" w:ascii="仿宋" w:hAnsi="仿宋" w:eastAsia="仿宋" w:cs="仿宋"/>
          <w:b/>
          <w:sz w:val="32"/>
          <w:szCs w:val="32"/>
        </w:rPr>
        <w:t>四、下步工作打算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一是县营商办工作人员要加强学习，提高业务指导能力，加强对各成员单位的指导；</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二是建立切实有效的考评体系，对各单位的考评内容要详实，要有针对性；</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三是建立畅通的信息渠道，做好正面宣传的同时加强反面曝光；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四是落实例会、督查制度，定期召开营商工作例会，有针对性的研究一些营商工作办法。定期开展针对营商专项整治行动的督导检查，将各项整治行动落到实处。</w:t>
      </w:r>
    </w:p>
    <w:p/>
    <w:p/>
    <w:p/>
    <w:p/>
    <w:p/>
    <w:p/>
    <w:p/>
    <w:p/>
    <w:p/>
    <w:p/>
    <w:p/>
    <w:p/>
    <w:p/>
    <w:p/>
    <w:p/>
    <w:p/>
    <w:p/>
    <w:p/>
    <w:p/>
    <w:p/>
    <w:p/>
    <w:p/>
    <w:p/>
    <w:p/>
    <w:p/>
    <w:p/>
    <w:p/>
    <w:p/>
    <w:p/>
    <w:p>
      <w:pPr>
        <w:pBdr>
          <w:top w:val="single" w:color="auto" w:sz="4" w:space="0"/>
          <w:bottom w:val="single" w:color="auto" w:sz="4" w:space="0"/>
        </w:pBdr>
        <w:rPr>
          <w:rFonts w:hint="eastAsia" w:ascii="仿宋_GB2312" w:hAnsi="宋体" w:eastAsia="仿宋_GB2312" w:cs="宋体"/>
          <w:color w:val="auto"/>
          <w:sz w:val="32"/>
          <w:szCs w:val="32"/>
          <w:lang w:val="en-US" w:eastAsia="zh-CN"/>
        </w:rPr>
      </w:pPr>
      <w:r>
        <w:rPr>
          <w:rFonts w:hint="eastAsia" w:ascii="仿宋_GB2312" w:hAnsi="宋体" w:eastAsia="仿宋_GB2312" w:cs="宋体"/>
          <w:color w:val="auto"/>
          <w:sz w:val="32"/>
          <w:szCs w:val="32"/>
          <w:lang w:val="en-US" w:eastAsia="zh-CN"/>
        </w:rPr>
        <w:t>报：县级领导</w:t>
      </w:r>
    </w:p>
    <w:p>
      <w:pPr>
        <w:pBdr>
          <w:top w:val="single" w:color="auto" w:sz="4" w:space="0"/>
          <w:bottom w:val="single" w:color="auto" w:sz="4" w:space="0"/>
        </w:pBdr>
        <w:rPr>
          <w:rFonts w:hint="eastAsia" w:ascii="仿宋_GB2312" w:hAnsi="宋体" w:eastAsia="仿宋_GB2312" w:cs="宋体"/>
          <w:color w:val="auto"/>
          <w:sz w:val="32"/>
          <w:szCs w:val="32"/>
          <w:lang w:val="en-US" w:eastAsia="zh-CN"/>
        </w:rPr>
      </w:pPr>
      <w:r>
        <w:rPr>
          <w:rFonts w:hint="eastAsia" w:ascii="仿宋_GB2312" w:hAnsi="宋体" w:eastAsia="仿宋_GB2312" w:cs="宋体"/>
          <w:color w:val="auto"/>
          <w:sz w:val="32"/>
          <w:szCs w:val="32"/>
          <w:lang w:val="en-US" w:eastAsia="zh-CN"/>
        </w:rPr>
        <w:t>发：县直各单位，各乡镇</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right"/>
        <w:textAlignment w:val="auto"/>
        <w:outlineLvl w:val="9"/>
        <w:rPr>
          <w:rFonts w:hint="eastAsia" w:ascii="仿宋" w:hAnsi="仿宋" w:eastAsia="仿宋" w:cs="Helvetica"/>
          <w:kern w:val="0"/>
          <w:sz w:val="32"/>
          <w:szCs w:val="32"/>
        </w:rPr>
      </w:pPr>
      <w:r>
        <w:rPr>
          <w:rFonts w:hint="eastAsia" w:ascii="仿宋_GB2312" w:hAnsi="宋体" w:eastAsia="仿宋_GB2312" w:cs="宋体"/>
          <w:color w:val="auto"/>
          <w:sz w:val="32"/>
          <w:szCs w:val="32"/>
          <w:lang w:val="en-US" w:eastAsia="zh-CN"/>
        </w:rPr>
        <w:t>共印113份</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楷体简体">
    <w:panose1 w:val="02010601030101010101"/>
    <w:charset w:val="86"/>
    <w:family w:val="auto"/>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叶根友毛笔行书2.0版">
    <w:panose1 w:val="02010601030101010101"/>
    <w:charset w:val="86"/>
    <w:family w:val="auto"/>
    <w:pitch w:val="default"/>
    <w:sig w:usb0="00000001" w:usb1="080E0000" w:usb2="00000000" w:usb3="00000000" w:csb0="00040000" w:csb1="00000000"/>
  </w:font>
  <w:font w:name="宋体-方正超大字符集">
    <w:panose1 w:val="03000509000000000000"/>
    <w:charset w:val="86"/>
    <w:family w:val="auto"/>
    <w:pitch w:val="default"/>
    <w:sig w:usb0="00000001" w:usb1="080E0000" w:usb2="00000000" w:usb3="00000000" w:csb0="00040000" w:csb1="00000000"/>
  </w:font>
  <w:font w:name="小标宋">
    <w:panose1 w:val="03000509000000000000"/>
    <w:charset w:val="86"/>
    <w:family w:val="auto"/>
    <w:pitch w:val="default"/>
    <w:sig w:usb0="00000001" w:usb1="080E0000" w:usb2="00000000" w:usb3="00000000" w:csb0="00040000" w:csb1="00000000"/>
  </w:font>
  <w:font w:name="幼圆">
    <w:panose1 w:val="02010509060101010101"/>
    <w:charset w:val="86"/>
    <w:family w:val="auto"/>
    <w:pitch w:val="default"/>
    <w:sig w:usb0="00000001" w:usb1="080E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方正仿宋简体">
    <w:panose1 w:val="02010601030101010101"/>
    <w:charset w:val="86"/>
    <w:family w:val="auto"/>
    <w:pitch w:val="default"/>
    <w:sig w:usb0="00000001" w:usb1="080E0000" w:usb2="00000000" w:usb3="00000000" w:csb0="00040000" w:csb1="00000000"/>
  </w:font>
  <w:font w:name="方正兰亭超细黑简体">
    <w:panose1 w:val="02000000000000000000"/>
    <w:charset w:val="86"/>
    <w:family w:val="auto"/>
    <w:pitch w:val="default"/>
    <w:sig w:usb0="00000001" w:usb1="0800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隶书">
    <w:panose1 w:val="02010509060101010101"/>
    <w:charset w:val="86"/>
    <w:family w:val="auto"/>
    <w:pitch w:val="default"/>
    <w:sig w:usb0="00000001" w:usb1="080E0000" w:usb2="00000000" w:usb3="00000000" w:csb0="00040000" w:csb1="00000000"/>
  </w:font>
  <w:font w:name="Hiragino Sans GB">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AFF" w:usb1="C0007843" w:usb2="00000009" w:usb3="00000000" w:csb0="400001FF" w:csb1="FFFF0000"/>
  </w:font>
  <w:font w:name="Calibri Light">
    <w:altName w:val="Times New Roman"/>
    <w:panose1 w:val="00000000000000000000"/>
    <w:charset w:val="00"/>
    <w:family w:val="roman"/>
    <w:pitch w:val="default"/>
    <w:sig w:usb0="00000000" w:usb1="00000000" w:usb2="00000000" w:usb3="00000000" w:csb0="00000000" w:csb1="00000000"/>
  </w:font>
  <w:font w:name="Helvetica">
    <w:altName w:val="Arial"/>
    <w:panose1 w:val="020B0604020202020204"/>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4D3DB1"/>
    <w:rsid w:val="1B830C8B"/>
    <w:rsid w:val="55910542"/>
    <w:rsid w:val="62C4110D"/>
    <w:rsid w:val="68DE714D"/>
    <w:rsid w:val="6D5A3604"/>
    <w:rsid w:val="71E213B7"/>
    <w:rsid w:val="750216E0"/>
    <w:rsid w:val="7F6B436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2017-07-06T07:20:12Z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