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第14期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2017年9月15日 </w:t>
      </w:r>
      <w:r>
        <w:rPr>
          <w:rFonts w:hint="eastAsia" w:asciiTheme="minorEastAsia" w:hAnsiTheme="minorEastAsia" w:eastAsiaTheme="minorEastAsia" w:cstheme="minorEastAsia"/>
          <w:color w:val="auto"/>
          <w:sz w:val="24"/>
          <w:szCs w:val="24"/>
          <w:lang w:val="en-US" w:eastAsia="zh-CN"/>
        </w:rPr>
        <w:t xml:space="preserve"> </w:t>
      </w:r>
    </w:p>
    <w:p>
      <w:pPr>
        <w:rPr>
          <w:b/>
          <w:bCs/>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领导批示</w:t>
      </w:r>
    </w:p>
    <w:p>
      <w:pPr>
        <w:jc w:val="center"/>
        <w:rPr>
          <w:rFonts w:hint="eastAsia" w:eastAsiaTheme="minorEastAsia"/>
          <w:lang w:eastAsia="zh-CN"/>
        </w:rPr>
      </w:pPr>
      <w:r>
        <w:rPr>
          <w:rFonts w:hint="eastAsia" w:eastAsiaTheme="minorEastAsia"/>
          <w:lang w:eastAsia="zh-CN"/>
        </w:rPr>
        <w:drawing>
          <wp:inline distT="0" distB="0" distL="114300" distR="114300">
            <wp:extent cx="4492625" cy="5796280"/>
            <wp:effectExtent l="0" t="0" r="3175" b="13970"/>
            <wp:docPr id="12" name="图片 12" descr="CCI20170915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CI20170915_meitu_1"/>
                    <pic:cNvPicPr>
                      <a:picLocks noChangeAspect="1"/>
                    </pic:cNvPicPr>
                  </pic:nvPicPr>
                  <pic:blipFill>
                    <a:blip r:embed="rId6"/>
                    <a:stretch>
                      <a:fillRect/>
                    </a:stretch>
                  </pic:blipFill>
                  <pic:spPr>
                    <a:xfrm>
                      <a:off x="0" y="0"/>
                      <a:ext cx="4492625" cy="5796280"/>
                    </a:xfrm>
                    <a:prstGeom prst="rect">
                      <a:avLst/>
                    </a:prstGeom>
                  </pic:spPr>
                </pic:pic>
              </a:graphicData>
            </a:graphic>
          </wp:inline>
        </w:drawing>
      </w: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特色工作</w:t>
      </w:r>
    </w:p>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优化营商环境 提升服务效能</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我县开展垄断性服务专项整治检查行动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59264" behindDoc="0" locked="0" layoutInCell="1" allowOverlap="1">
            <wp:simplePos x="0" y="0"/>
            <wp:positionH relativeFrom="column">
              <wp:posOffset>1905</wp:posOffset>
            </wp:positionH>
            <wp:positionV relativeFrom="paragraph">
              <wp:posOffset>198755</wp:posOffset>
            </wp:positionV>
            <wp:extent cx="2730500" cy="2044700"/>
            <wp:effectExtent l="0" t="0" r="12700" b="12700"/>
            <wp:wrapSquare wrapText="bothSides"/>
            <wp:docPr id="3" name="图片 2" descr="微信图片_20170914145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170914145724"/>
                    <pic:cNvPicPr>
                      <a:picLocks noChangeAspect="1"/>
                    </pic:cNvPicPr>
                  </pic:nvPicPr>
                  <pic:blipFill>
                    <a:blip r:embed="rId7"/>
                    <a:stretch>
                      <a:fillRect/>
                    </a:stretch>
                  </pic:blipFill>
                  <pic:spPr>
                    <a:xfrm>
                      <a:off x="0" y="0"/>
                      <a:ext cx="2730500" cy="2044700"/>
                    </a:xfrm>
                    <a:prstGeom prst="rect">
                      <a:avLst/>
                    </a:prstGeom>
                    <a:noFill/>
                    <a:ln w="9525">
                      <a:noFill/>
                    </a:ln>
                  </pic:spPr>
                </pic:pic>
              </a:graphicData>
            </a:graphic>
          </wp:anchor>
        </w:drawing>
      </w:r>
      <w:r>
        <w:rPr>
          <w:rFonts w:hint="eastAsia" w:ascii="仿宋" w:hAnsi="仿宋" w:eastAsia="仿宋" w:cs="仿宋"/>
          <w:sz w:val="32"/>
          <w:szCs w:val="32"/>
        </w:rPr>
        <w:t>9月13日，根据《辽宁省营商条例》、《清原县全面优化公共服务打造一流营商环境专项整治行动方案》要求，我县开展了垄断性服务专项整治检查行动。这项检查行动由县发改局和物价局牵头、县城建局、县市场监督管理局、县财政局、县国土局等部门参加，组成专项检查小组联合开展垄断性服务行业专项整治行动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行动方案》的要求，这次检查围绕企业、群众最关心、最现实的突出问题，在垄断企业自查的基础上，重点对我县供水、燃气、供热三大行业的价格行为、收费政策落实情况进行检查。重点查处擅自设立或分解收费项目、自定收费标准、重复或扩大范围收费等价格违法行为，并要求负责人向检查组提供书面说明及收费文件依据等材料。县城建局、县财政局等部门负责检查三大行业的配套政策，制定行业服务规范，建立反垄断管理制度，着力整治垄断行业项目配套费用过高等问题。县市场监督管理局重点对三大行业利用垄断地位实施的不正当竞争行为进行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目前，我县供水、燃气、供热三大行业各项工作运行良好，能够严格按照相关政策文件认真执行，行业内部能够定期进行自查自纠，切实提升服务质量。检查小组还将继续加强对垄断行业的日常监管，畅通企业诉求渠道，认真受理和解决企业和群众反映的问题，形成长效管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2228215" cy="1671320"/>
            <wp:effectExtent l="0" t="0" r="635" b="5080"/>
            <wp:docPr id="4" name="图片 1" descr="微信图片_2017091414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70914145656"/>
                    <pic:cNvPicPr>
                      <a:picLocks noChangeAspect="1"/>
                    </pic:cNvPicPr>
                  </pic:nvPicPr>
                  <pic:blipFill>
                    <a:blip r:embed="rId8"/>
                    <a:stretch>
                      <a:fillRect/>
                    </a:stretch>
                  </pic:blipFill>
                  <pic:spPr>
                    <a:xfrm>
                      <a:off x="0" y="0"/>
                      <a:ext cx="2228215" cy="1671320"/>
                    </a:xfrm>
                    <a:prstGeom prst="rect">
                      <a:avLst/>
                    </a:prstGeom>
                    <a:noFill/>
                    <a:ln w="9525">
                      <a:noFill/>
                    </a:ln>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drawing>
          <wp:inline distT="0" distB="0" distL="114300" distR="114300">
            <wp:extent cx="2192020" cy="1642745"/>
            <wp:effectExtent l="0" t="0" r="17780" b="14605"/>
            <wp:docPr id="5" name="图片 2" descr="微信图片_20170914145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170914145714"/>
                    <pic:cNvPicPr>
                      <a:picLocks noChangeAspect="1"/>
                    </pic:cNvPicPr>
                  </pic:nvPicPr>
                  <pic:blipFill>
                    <a:blip r:embed="rId9"/>
                    <a:stretch>
                      <a:fillRect/>
                    </a:stretch>
                  </pic:blipFill>
                  <pic:spPr>
                    <a:xfrm>
                      <a:off x="0" y="0"/>
                      <a:ext cx="2192020" cy="164274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18"/>
          <w:szCs w:val="18"/>
          <w:lang w:val="en-US" w:eastAsia="zh-CN"/>
        </w:rPr>
      </w:pPr>
    </w:p>
    <w:p>
      <w:pPr>
        <w:jc w:val="center"/>
      </w:pPr>
      <w:r>
        <w:rPr>
          <w:rFonts w:hint="eastAsia" w:ascii="仿宋" w:hAnsi="仿宋" w:eastAsia="仿宋" w:cs="仿宋"/>
          <w:sz w:val="32"/>
          <w:szCs w:val="32"/>
          <w:lang w:eastAsia="zh-CN"/>
        </w:rPr>
        <w:drawing>
          <wp:inline distT="0" distB="0" distL="114300" distR="114300">
            <wp:extent cx="2212340" cy="1659255"/>
            <wp:effectExtent l="0" t="0" r="16510" b="17145"/>
            <wp:docPr id="6" name="图片 3" descr="微信图片_2017091414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170914145718"/>
                    <pic:cNvPicPr>
                      <a:picLocks noChangeAspect="1"/>
                    </pic:cNvPicPr>
                  </pic:nvPicPr>
                  <pic:blipFill>
                    <a:blip r:embed="rId10"/>
                    <a:stretch>
                      <a:fillRect/>
                    </a:stretch>
                  </pic:blipFill>
                  <pic:spPr>
                    <a:xfrm>
                      <a:off x="0" y="0"/>
                      <a:ext cx="2212340" cy="1659255"/>
                    </a:xfrm>
                    <a:prstGeom prst="rect">
                      <a:avLst/>
                    </a:prstGeom>
                    <a:noFill/>
                    <a:ln w="9525">
                      <a:noFill/>
                    </a:ln>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drawing>
          <wp:inline distT="0" distB="0" distL="114300" distR="114300">
            <wp:extent cx="2188210" cy="1672590"/>
            <wp:effectExtent l="0" t="0" r="2540" b="3810"/>
            <wp:docPr id="7" name="图片 4" descr="微信图片_20170914145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170914145730"/>
                    <pic:cNvPicPr>
                      <a:picLocks noChangeAspect="1"/>
                    </pic:cNvPicPr>
                  </pic:nvPicPr>
                  <pic:blipFill>
                    <a:blip r:embed="rId11"/>
                    <a:stretch>
                      <a:fillRect/>
                    </a:stretch>
                  </pic:blipFill>
                  <pic:spPr>
                    <a:xfrm>
                      <a:off x="0" y="0"/>
                      <a:ext cx="2188210" cy="1672590"/>
                    </a:xfrm>
                    <a:prstGeom prst="rect">
                      <a:avLst/>
                    </a:prstGeom>
                    <a:noFill/>
                    <a:ln w="9525">
                      <a:noFill/>
                    </a:ln>
                  </pic:spPr>
                </pic:pic>
              </a:graphicData>
            </a:graphic>
          </wp:inline>
        </w:drawing>
      </w:r>
    </w:p>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rPr>
        <w:t>县综合执法局依法强制拆除违法建筑</w:t>
      </w:r>
    </w:p>
    <w:p>
      <w:pPr>
        <w:rPr>
          <w:rFonts w:hint="eastAsia"/>
          <w:sz w:val="18"/>
          <w:szCs w:val="18"/>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rPr>
          <w:rFonts w:hint="eastAsia" w:ascii="仿宋" w:hAnsi="仿宋" w:eastAsia="仿宋" w:cs="仿宋"/>
          <w:b w:val="0"/>
          <w:bCs/>
          <w:i w:val="0"/>
          <w:color w:val="auto"/>
          <w:sz w:val="32"/>
          <w:szCs w:val="32"/>
        </w:rPr>
      </w:pPr>
      <w:r>
        <w:rPr>
          <w:rFonts w:hint="eastAsia" w:ascii="仿宋" w:hAnsi="仿宋" w:eastAsia="仿宋" w:cs="仿宋"/>
          <w:b w:val="0"/>
          <w:bCs/>
          <w:i w:val="0"/>
          <w:caps w:val="0"/>
          <w:color w:val="auto"/>
          <w:spacing w:val="0"/>
          <w:sz w:val="32"/>
          <w:szCs w:val="32"/>
          <w:shd w:val="clear" w:fill="FFFFFF"/>
        </w:rPr>
        <w:t>9月14号，县综合执法局依法强制拆除了县城春风家园违法在建构筑物一处。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rPr>
          <w:rFonts w:hint="eastAsia" w:ascii="仿宋" w:hAnsi="仿宋" w:eastAsia="仿宋" w:cs="仿宋"/>
          <w:b w:val="0"/>
          <w:bCs/>
          <w:i w:val="0"/>
          <w:color w:val="auto"/>
          <w:sz w:val="32"/>
          <w:szCs w:val="32"/>
        </w:rPr>
      </w:pPr>
      <w:r>
        <w:rPr>
          <w:rFonts w:hint="eastAsia" w:ascii="仿宋" w:hAnsi="仿宋" w:eastAsia="仿宋" w:cs="仿宋"/>
          <w:b w:val="0"/>
          <w:bCs/>
          <w:i w:val="0"/>
          <w:caps w:val="0"/>
          <w:color w:val="auto"/>
          <w:spacing w:val="0"/>
          <w:sz w:val="32"/>
          <w:szCs w:val="32"/>
          <w:shd w:val="clear" w:fill="FFFFFF"/>
        </w:rPr>
        <w:t>该违法构筑物位于县城春风家园小区内，不仅无任何审批手续，而且严重影响了县城小区的整体规划秩序。此前，县综合执法局依据《中华人民共和国城乡规划法》相关规定对构筑物当事人下达了《行政责令限期整改通知书》，限其自行拆除违法构筑物，但当事人在规定期限内拒不改正违法行为。为此，县综合执法局在公安部门的积极配合下，组织10多名执法人员，出动1台铲车、1台翻斗车，依法对其进行了强制拆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rPr>
          <w:rFonts w:hint="eastAsia" w:ascii="仿宋" w:hAnsi="仿宋" w:eastAsia="仿宋" w:cs="仿宋"/>
          <w:b w:val="0"/>
          <w:bCs/>
          <w:i w:val="0"/>
          <w:caps w:val="0"/>
          <w:color w:val="auto"/>
          <w:spacing w:val="0"/>
          <w:sz w:val="32"/>
          <w:szCs w:val="32"/>
        </w:rPr>
      </w:pPr>
      <w:r>
        <w:rPr>
          <w:rFonts w:hint="eastAsia" w:ascii="仿宋" w:hAnsi="仿宋" w:eastAsia="仿宋" w:cs="仿宋"/>
          <w:b w:val="0"/>
          <w:bCs/>
          <w:i w:val="0"/>
          <w:caps w:val="0"/>
          <w:color w:val="auto"/>
          <w:spacing w:val="0"/>
          <w:kern w:val="0"/>
          <w:sz w:val="32"/>
          <w:szCs w:val="32"/>
          <w:shd w:val="clear" w:fill="FFFFFF"/>
          <w:lang w:val="en-US" w:eastAsia="zh-CN" w:bidi="ar"/>
        </w:rPr>
        <w:t>按照县委、县政府进一步改善县城人居环境，提升城市整体形象的要求。县综合执法局将以县城老旧小区改造、市政“平坦”道路维修工程建设为契机，不断加大巡查、整治力度，特别是十一长假期间要做到全天候巡查，坚决遏制改造后小区违法建设、私搭乱建等行为，进一步巩固前一阶段成果。全力维护城市规划秩序，切实提升城市整体形象，营造良好的市容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仿宋" w:hAnsi="仿宋" w:eastAsia="仿宋" w:cs="仿宋"/>
          <w:b w:val="0"/>
          <w:bCs/>
          <w:i w:val="0"/>
          <w:caps w:val="0"/>
          <w:color w:val="auto"/>
          <w:spacing w:val="0"/>
          <w:sz w:val="32"/>
          <w:szCs w:val="32"/>
        </w:rPr>
      </w:pPr>
      <w:r>
        <w:rPr>
          <w:rFonts w:hint="eastAsia" w:ascii="仿宋" w:hAnsi="仿宋" w:eastAsia="仿宋" w:cs="仿宋"/>
          <w:b w:val="0"/>
          <w:bCs/>
          <w:i w:val="0"/>
          <w:caps w:val="0"/>
          <w:color w:val="auto"/>
          <w:spacing w:val="0"/>
          <w:kern w:val="0"/>
          <w:sz w:val="32"/>
          <w:szCs w:val="32"/>
          <w:shd w:val="clear" w:fill="FFFFFF"/>
          <w:lang w:val="en-US" w:eastAsia="zh-CN" w:bidi="ar"/>
        </w:rPr>
        <w:drawing>
          <wp:inline distT="0" distB="0" distL="114300" distR="114300">
            <wp:extent cx="2265680" cy="1511300"/>
            <wp:effectExtent l="0" t="0" r="1270" b="1270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2"/>
                    <a:stretch>
                      <a:fillRect/>
                    </a:stretch>
                  </pic:blipFill>
                  <pic:spPr>
                    <a:xfrm>
                      <a:off x="0" y="0"/>
                      <a:ext cx="2265680" cy="1511300"/>
                    </a:xfrm>
                    <a:prstGeom prst="rect">
                      <a:avLst/>
                    </a:prstGeom>
                    <a:noFill/>
                    <a:ln w="9525">
                      <a:noFill/>
                    </a:ln>
                  </pic:spPr>
                </pic:pic>
              </a:graphicData>
            </a:graphic>
          </wp:inline>
        </w:drawing>
      </w:r>
      <w:r>
        <w:rPr>
          <w:rFonts w:hint="eastAsia" w:ascii="仿宋" w:hAnsi="仿宋" w:eastAsia="仿宋" w:cs="仿宋"/>
          <w:b w:val="0"/>
          <w:bCs/>
          <w:i w:val="0"/>
          <w:caps w:val="0"/>
          <w:color w:val="auto"/>
          <w:spacing w:val="0"/>
          <w:kern w:val="0"/>
          <w:sz w:val="32"/>
          <w:szCs w:val="32"/>
          <w:shd w:val="clear" w:fill="FFFFFF"/>
          <w:lang w:val="en-US" w:eastAsia="zh-CN" w:bidi="ar"/>
        </w:rPr>
        <w:t xml:space="preserve">   </w:t>
      </w:r>
      <w:r>
        <w:rPr>
          <w:rFonts w:hint="eastAsia" w:ascii="仿宋" w:hAnsi="仿宋" w:eastAsia="仿宋" w:cs="仿宋"/>
          <w:b w:val="0"/>
          <w:bCs/>
          <w:i w:val="0"/>
          <w:caps w:val="0"/>
          <w:color w:val="auto"/>
          <w:spacing w:val="0"/>
          <w:kern w:val="0"/>
          <w:sz w:val="32"/>
          <w:szCs w:val="32"/>
          <w:shd w:val="clear" w:fill="FFFFFF"/>
          <w:lang w:val="en-US" w:eastAsia="zh-CN" w:bidi="ar"/>
        </w:rPr>
        <w:drawing>
          <wp:inline distT="0" distB="0" distL="114300" distR="114300">
            <wp:extent cx="2134870" cy="1508125"/>
            <wp:effectExtent l="0" t="0" r="17780" b="1587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3"/>
                    <a:stretch>
                      <a:fillRect/>
                    </a:stretch>
                  </pic:blipFill>
                  <pic:spPr>
                    <a:xfrm>
                      <a:off x="0" y="0"/>
                      <a:ext cx="2134870" cy="150812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right="0" w:rightChars="0" w:firstLine="1280" w:firstLineChars="400"/>
        <w:jc w:val="both"/>
        <w:textAlignment w:val="auto"/>
        <w:rPr>
          <w:rFonts w:hint="eastAsia" w:ascii="仿宋" w:hAnsi="仿宋" w:eastAsia="仿宋" w:cs="仿宋"/>
          <w:b w:val="0"/>
          <w:bCs/>
          <w:i w:val="0"/>
          <w:caps w:val="0"/>
          <w:color w:val="auto"/>
          <w:spacing w:val="0"/>
          <w:sz w:val="32"/>
          <w:szCs w:val="32"/>
          <w:shd w:val="clear" w:fill="FFFFFF"/>
        </w:rPr>
      </w:pPr>
      <w:r>
        <w:rPr>
          <w:rFonts w:hint="eastAsia" w:ascii="仿宋" w:hAnsi="仿宋" w:eastAsia="仿宋" w:cs="仿宋"/>
          <w:b w:val="0"/>
          <w:bCs/>
          <w:i w:val="0"/>
          <w:caps w:val="0"/>
          <w:color w:val="auto"/>
          <w:spacing w:val="0"/>
          <w:sz w:val="32"/>
          <w:szCs w:val="32"/>
          <w:shd w:val="clear" w:fill="FFFFFF"/>
        </w:rPr>
        <w:t>违法建筑拆除前</w:t>
      </w:r>
      <w:r>
        <w:rPr>
          <w:rFonts w:hint="eastAsia" w:ascii="仿宋" w:hAnsi="仿宋" w:eastAsia="仿宋" w:cs="仿宋"/>
          <w:b w:val="0"/>
          <w:bCs/>
          <w:i w:val="0"/>
          <w:caps w:val="0"/>
          <w:color w:val="auto"/>
          <w:spacing w:val="0"/>
          <w:sz w:val="32"/>
          <w:szCs w:val="32"/>
          <w:shd w:val="clear" w:fill="FFFFFF"/>
          <w:lang w:val="en-US" w:eastAsia="zh-CN"/>
        </w:rPr>
        <w:t xml:space="preserve">          </w:t>
      </w:r>
      <w:r>
        <w:rPr>
          <w:rFonts w:hint="eastAsia" w:ascii="仿宋" w:hAnsi="仿宋" w:eastAsia="仿宋" w:cs="仿宋"/>
          <w:b w:val="0"/>
          <w:bCs/>
          <w:i w:val="0"/>
          <w:caps w:val="0"/>
          <w:color w:val="auto"/>
          <w:spacing w:val="0"/>
          <w:sz w:val="32"/>
          <w:szCs w:val="32"/>
          <w:shd w:val="clear" w:fill="FFFFFF"/>
        </w:rPr>
        <w:t>违法建筑拆除后</w:t>
      </w:r>
    </w:p>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工作动态</w:t>
      </w:r>
    </w:p>
    <w:p/>
    <w:p>
      <w:pPr>
        <w:spacing w:line="580" w:lineRule="exact"/>
        <w:jc w:val="center"/>
        <w:rPr>
          <w:rFonts w:hint="eastAsia" w:ascii="仿宋" w:hAnsi="仿宋" w:eastAsia="仿宋"/>
          <w:b/>
          <w:sz w:val="36"/>
          <w:szCs w:val="36"/>
        </w:rPr>
      </w:pPr>
      <w:r>
        <w:rPr>
          <w:rFonts w:hint="eastAsia" w:ascii="黑体" w:hAnsi="黑体" w:eastAsia="黑体" w:cs="黑体"/>
          <w:b/>
          <w:sz w:val="32"/>
          <w:szCs w:val="32"/>
        </w:rPr>
        <w:t>公布营商举报电话邮箱</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完善投诉举报处理机制</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为了优化营商环境，保护各类市场主体的合法权益，促进我县经济和社会全面发展，完善案件投诉举报和处理机制</w:t>
      </w:r>
      <w:r>
        <w:rPr>
          <w:rFonts w:hint="eastAsia" w:ascii="仿宋" w:hAnsi="仿宋" w:eastAsia="仿宋" w:cs="仿宋"/>
          <w:sz w:val="32"/>
          <w:szCs w:val="32"/>
          <w:lang w:eastAsia="zh-CN"/>
        </w:rPr>
        <w:t>。</w:t>
      </w:r>
      <w:r>
        <w:rPr>
          <w:rFonts w:hint="eastAsia" w:ascii="仿宋" w:hAnsi="仿宋" w:eastAsia="仿宋" w:cs="仿宋"/>
          <w:sz w:val="32"/>
          <w:szCs w:val="32"/>
        </w:rPr>
        <w:t>根据县委、县政府优化营商环境相关工作部署，9月11日起，县营商办在清原电视台、清原县报向社会公布优化营商环境投诉举报电话和邮箱。公民、法人和其他组织认为在我县域内的各级机关和有关部门、单位及其工作人员有违反《辽宁省优化营商环境条例》相关条款的行为，可在法定工作时间内拨打投诉举报电话，进行实名投诉举报，清原县营商办将依法监督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设立营商举报处理机制是推进优化营商环境建设的必然要求，是解决影响企业生产经营活动、影响社会和谐的重要举措。全县涉企举报</w:t>
      </w:r>
      <w:r>
        <w:rPr>
          <w:rFonts w:hint="eastAsia" w:ascii="仿宋" w:hAnsi="仿宋" w:eastAsia="仿宋" w:cs="仿宋"/>
          <w:sz w:val="32"/>
          <w:szCs w:val="32"/>
          <w:lang w:val="en-US" w:eastAsia="zh-CN"/>
        </w:rPr>
        <w:t>责任</w:t>
      </w:r>
      <w:r>
        <w:rPr>
          <w:rFonts w:hint="eastAsia" w:ascii="仿宋" w:hAnsi="仿宋" w:eastAsia="仿宋" w:cs="仿宋"/>
          <w:sz w:val="32"/>
          <w:szCs w:val="32"/>
        </w:rPr>
        <w:t>单位在案件办理过程中要做到：一是认真核查情况，责任单位针对投诉企业的投诉内容及举证材料是否属实进行核查；二是明确办理意见，责任单位对投诉企业的诉求需给出明确的办理意见；三是严格遵守办理时限，责任单位需提供实现或部分实现投诉企业诉求的工作计划表或者办理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营商办将严格按照受理、办理、办结三个环节开展涉企营商环境投诉案件督办工作。每个投诉案建立工作台账，做到从立案到办结销号都有详细的文件存档；在受理、办理、办结三个环节当中严格按照《辽宁省优化营商环境条例》规定的时限、程序等，依法办理</w:t>
      </w:r>
      <w:r>
        <w:rPr>
          <w:rFonts w:hint="eastAsia" w:ascii="宋体" w:hAnsi="宋体" w:cs="仿宋"/>
          <w:sz w:val="32"/>
          <w:szCs w:val="32"/>
        </w:rPr>
        <w:t>。</w:t>
      </w:r>
    </w:p>
    <w:p/>
    <w:p>
      <w:pPr>
        <w:jc w:val="center"/>
        <w:rPr>
          <w:rFonts w:hint="eastAsia" w:ascii="黑体" w:hAnsi="黑体" w:eastAsia="黑体" w:cs="黑体"/>
          <w:b/>
          <w:bCs/>
          <w:sz w:val="32"/>
          <w:szCs w:val="32"/>
        </w:rPr>
      </w:pPr>
      <w:r>
        <w:rPr>
          <w:rFonts w:hint="eastAsia" w:ascii="黑体" w:hAnsi="黑体" w:eastAsia="黑体" w:cs="黑体"/>
          <w:b/>
          <w:bCs/>
          <w:sz w:val="32"/>
          <w:szCs w:val="32"/>
        </w:rPr>
        <w:t>微信学习《</w:t>
      </w:r>
      <w:r>
        <w:rPr>
          <w:rFonts w:hint="eastAsia" w:ascii="黑体" w:hAnsi="黑体" w:eastAsia="黑体" w:cs="仿宋"/>
          <w:b/>
          <w:sz w:val="32"/>
          <w:szCs w:val="32"/>
        </w:rPr>
        <w:t>辽宁省优化营商环境条例</w:t>
      </w:r>
      <w:r>
        <w:rPr>
          <w:rFonts w:hint="eastAsia" w:ascii="黑体" w:hAnsi="黑体" w:eastAsia="黑体" w:cs="黑体"/>
          <w:b/>
          <w:bCs/>
          <w:sz w:val="32"/>
          <w:szCs w:val="32"/>
        </w:rPr>
        <w:t>》活动圆满结束</w:t>
      </w:r>
    </w:p>
    <w:p>
      <w:pPr>
        <w:jc w:val="center"/>
        <w:rPr>
          <w:rFonts w:hint="eastAsia" w:ascii="黑体" w:hAnsi="黑体" w:eastAsia="黑体" w:cs="黑体"/>
          <w:b/>
          <w:bCs/>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根据深入开展《辽宁省优化营商环境条例》学习活动安排，县营商办利用手机微信平台，开展了《条例》</w:t>
      </w:r>
      <w:r>
        <w:rPr>
          <w:rFonts w:hint="eastAsia" w:ascii="仿宋" w:hAnsi="仿宋" w:eastAsia="仿宋" w:cs="仿宋"/>
          <w:sz w:val="32"/>
          <w:szCs w:val="32"/>
          <w:lang w:eastAsia="zh-CN"/>
        </w:rPr>
        <w:t>“</w:t>
      </w:r>
      <w:r>
        <w:rPr>
          <w:rFonts w:hint="eastAsia" w:ascii="仿宋" w:hAnsi="仿宋" w:eastAsia="仿宋" w:cs="仿宋"/>
          <w:sz w:val="32"/>
          <w:szCs w:val="32"/>
        </w:rPr>
        <w:t>每日一学”活动。</w:t>
      </w:r>
      <w:r>
        <w:rPr>
          <w:rFonts w:hint="eastAsia" w:ascii="仿宋" w:hAnsi="仿宋" w:eastAsia="仿宋"/>
          <w:sz w:val="32"/>
          <w:szCs w:val="32"/>
        </w:rPr>
        <w:t>学习</w:t>
      </w:r>
      <w:r>
        <w:rPr>
          <w:rFonts w:hint="eastAsia" w:ascii="仿宋" w:hAnsi="仿宋" w:eastAsia="仿宋" w:cs="仿宋"/>
          <w:sz w:val="32"/>
          <w:szCs w:val="32"/>
        </w:rPr>
        <w:t>活动</w:t>
      </w:r>
      <w:r>
        <w:rPr>
          <w:rFonts w:hint="eastAsia" w:ascii="仿宋" w:hAnsi="仿宋" w:eastAsia="仿宋" w:cs="仿宋"/>
          <w:sz w:val="32"/>
          <w:szCs w:val="32"/>
          <w:lang w:val="en-US" w:eastAsia="zh-CN"/>
        </w:rPr>
        <w:t>历</w:t>
      </w:r>
      <w:r>
        <w:rPr>
          <w:rFonts w:hint="eastAsia" w:ascii="仿宋" w:hAnsi="仿宋" w:eastAsia="仿宋" w:cs="仿宋"/>
          <w:sz w:val="32"/>
          <w:szCs w:val="32"/>
        </w:rPr>
        <w:t>时一个多月，共发表《条例》</w:t>
      </w:r>
      <w:r>
        <w:rPr>
          <w:rFonts w:hint="eastAsia" w:ascii="仿宋" w:hAnsi="仿宋" w:eastAsia="仿宋" w:cs="仿宋"/>
          <w:sz w:val="32"/>
          <w:szCs w:val="32"/>
          <w:lang w:eastAsia="zh-CN"/>
        </w:rPr>
        <w:t>“</w:t>
      </w:r>
      <w:r>
        <w:rPr>
          <w:rFonts w:hint="eastAsia" w:ascii="仿宋" w:hAnsi="仿宋" w:eastAsia="仿宋" w:cs="仿宋"/>
          <w:sz w:val="32"/>
          <w:szCs w:val="32"/>
        </w:rPr>
        <w:t>每日一学”38期。为了让各级干部能</w:t>
      </w:r>
      <w:r>
        <w:rPr>
          <w:rFonts w:hint="eastAsia" w:ascii="仿宋" w:hAnsi="仿宋" w:eastAsia="仿宋"/>
          <w:sz w:val="32"/>
          <w:szCs w:val="32"/>
        </w:rPr>
        <w:t>有计划的逐条逐句学习思考《条例》内容，</w:t>
      </w:r>
      <w:r>
        <w:rPr>
          <w:rFonts w:hint="eastAsia" w:ascii="仿宋" w:hAnsi="仿宋" w:eastAsia="仿宋" w:cs="仿宋"/>
          <w:sz w:val="32"/>
          <w:szCs w:val="32"/>
        </w:rPr>
        <w:t>营商办每天将《条例》内容</w:t>
      </w:r>
      <w:r>
        <w:rPr>
          <w:rFonts w:hint="eastAsia" w:ascii="仿宋" w:hAnsi="仿宋" w:eastAsia="仿宋" w:cs="仿宋"/>
          <w:sz w:val="32"/>
          <w:szCs w:val="32"/>
          <w:lang w:val="en-US" w:eastAsia="zh-CN"/>
        </w:rPr>
        <w:t>结合我县实际情况进行解释，</w:t>
      </w:r>
      <w:r>
        <w:rPr>
          <w:rFonts w:hint="eastAsia" w:ascii="仿宋" w:hAnsi="仿宋" w:eastAsia="仿宋" w:cs="仿宋"/>
          <w:sz w:val="32"/>
          <w:szCs w:val="32"/>
        </w:rPr>
        <w:t>逐条编写成微信息，发到</w:t>
      </w:r>
      <w:r>
        <w:rPr>
          <w:rFonts w:hint="eastAsia" w:ascii="仿宋" w:hAnsi="仿宋" w:eastAsia="仿宋" w:cs="仿宋"/>
          <w:sz w:val="32"/>
          <w:szCs w:val="32"/>
          <w:lang w:val="en-US" w:eastAsia="zh-CN"/>
        </w:rPr>
        <w:t>清原县正能量交流群、清原县政府工作群及各单位的工作群</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通过活动促进全县机关开展条例学习。</w:t>
      </w:r>
      <w:r>
        <w:rPr>
          <w:rFonts w:hint="eastAsia" w:ascii="仿宋" w:hAnsi="仿宋" w:eastAsia="仿宋" w:cs="仿宋"/>
          <w:sz w:val="32"/>
          <w:szCs w:val="32"/>
        </w:rPr>
        <w:t>9月1</w:t>
      </w:r>
      <w:r>
        <w:rPr>
          <w:rFonts w:hint="eastAsia" w:ascii="仿宋" w:hAnsi="仿宋" w:eastAsia="仿宋" w:cs="仿宋"/>
          <w:sz w:val="32"/>
          <w:szCs w:val="32"/>
          <w:lang w:val="en-US" w:eastAsia="zh-CN"/>
        </w:rPr>
        <w:t>2</w:t>
      </w:r>
      <w:r>
        <w:rPr>
          <w:rFonts w:hint="eastAsia" w:ascii="仿宋" w:hAnsi="仿宋" w:eastAsia="仿宋" w:cs="仿宋"/>
          <w:sz w:val="32"/>
          <w:szCs w:val="32"/>
        </w:rPr>
        <w:t>日，《条例》</w:t>
      </w:r>
      <w:r>
        <w:rPr>
          <w:rFonts w:hint="eastAsia" w:ascii="仿宋" w:hAnsi="仿宋" w:eastAsia="仿宋" w:cs="仿宋"/>
          <w:sz w:val="32"/>
          <w:szCs w:val="32"/>
          <w:lang w:eastAsia="zh-CN"/>
        </w:rPr>
        <w:t>“</w:t>
      </w:r>
      <w:r>
        <w:rPr>
          <w:rFonts w:hint="eastAsia" w:ascii="仿宋" w:hAnsi="仿宋" w:eastAsia="仿宋" w:cs="仿宋"/>
          <w:sz w:val="32"/>
          <w:szCs w:val="32"/>
        </w:rPr>
        <w:t>每日一学”</w:t>
      </w:r>
      <w:r>
        <w:rPr>
          <w:rFonts w:hint="eastAsia" w:ascii="仿宋" w:hAnsi="仿宋" w:eastAsia="仿宋" w:cs="仿宋"/>
          <w:sz w:val="32"/>
          <w:szCs w:val="32"/>
          <w:lang w:val="en-US" w:eastAsia="zh-CN"/>
        </w:rPr>
        <w:t>活动</w:t>
      </w:r>
      <w:r>
        <w:rPr>
          <w:rFonts w:hint="eastAsia" w:ascii="仿宋" w:hAnsi="仿宋" w:eastAsia="仿宋" w:cs="仿宋"/>
          <w:sz w:val="32"/>
          <w:szCs w:val="32"/>
        </w:rPr>
        <w:t>圆满结束，此次学习将</w:t>
      </w:r>
      <w:r>
        <w:rPr>
          <w:rFonts w:hint="eastAsia" w:ascii="仿宋" w:hAnsi="仿宋" w:eastAsia="仿宋" w:cs="仿宋"/>
          <w:sz w:val="32"/>
          <w:szCs w:val="32"/>
          <w:lang w:val="en-US" w:eastAsia="zh-CN"/>
        </w:rPr>
        <w:t>进一步</w:t>
      </w:r>
      <w:r>
        <w:rPr>
          <w:rFonts w:hint="eastAsia" w:ascii="仿宋" w:hAnsi="仿宋" w:eastAsia="仿宋" w:cs="仿宋"/>
          <w:sz w:val="32"/>
          <w:szCs w:val="32"/>
        </w:rPr>
        <w:t>提高各级干部运用《条例》水平，</w:t>
      </w:r>
      <w:r>
        <w:rPr>
          <w:rFonts w:hint="eastAsia" w:ascii="仿宋" w:hAnsi="仿宋" w:eastAsia="仿宋" w:cs="仿宋"/>
          <w:sz w:val="32"/>
          <w:szCs w:val="32"/>
          <w:lang w:val="en-US" w:eastAsia="zh-CN"/>
        </w:rPr>
        <w:t>促进</w:t>
      </w:r>
      <w:r>
        <w:rPr>
          <w:rFonts w:hint="eastAsia" w:ascii="仿宋" w:hAnsi="仿宋" w:eastAsia="仿宋" w:cs="仿宋"/>
          <w:sz w:val="32"/>
          <w:szCs w:val="32"/>
        </w:rPr>
        <w:t>干部作风转变，推动营商环境</w:t>
      </w:r>
      <w:r>
        <w:rPr>
          <w:rFonts w:hint="eastAsia" w:ascii="仿宋" w:hAnsi="仿宋" w:eastAsia="仿宋" w:cs="仿宋"/>
          <w:sz w:val="32"/>
          <w:szCs w:val="32"/>
          <w:lang w:val="en-US" w:eastAsia="zh-CN"/>
        </w:rPr>
        <w:t>进一步好转</w:t>
      </w:r>
      <w:r>
        <w:rPr>
          <w:rFonts w:hint="eastAsia" w:ascii="仿宋" w:hAnsi="仿宋" w:eastAsia="仿宋" w:cs="仿宋"/>
          <w:sz w:val="32"/>
          <w:szCs w:val="32"/>
        </w:rPr>
        <w:t>。</w:t>
      </w:r>
    </w:p>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营商问答</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sz w:val="32"/>
          <w:szCs w:val="32"/>
        </w:rPr>
      </w:pPr>
      <w:r>
        <w:rPr>
          <w:rFonts w:hint="eastAsia" w:ascii="仿宋" w:hAnsi="仿宋" w:eastAsia="仿宋" w:cs="仿宋"/>
          <w:b/>
          <w:bCs/>
          <w:sz w:val="32"/>
          <w:szCs w:val="32"/>
        </w:rPr>
        <w:t>问：《条例》在完善营商环境监督评价方面提出了哪些具体举措</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答：加强对优化营商环境的监督和评价工</w:t>
      </w:r>
      <w:bookmarkStart w:id="0" w:name="_GoBack"/>
      <w:bookmarkEnd w:id="0"/>
      <w:r>
        <w:rPr>
          <w:rFonts w:hint="eastAsia" w:ascii="仿宋" w:hAnsi="仿宋" w:eastAsia="仿宋" w:cs="仿宋"/>
          <w:sz w:val="32"/>
          <w:szCs w:val="32"/>
        </w:rPr>
        <w:t>作，是督促各级机关及其工作人员严格履行优化营商环境职责的重要途径，《条例》主要从四个方面作出规定：一是，省、市、县人民政府应当建立健全行政执法评价和日常监督机制。省政府法制部门应当依法组织开展对优化经济发展营商环境检查，会同省工商联等选择不同所有制企业作为涉企行政执法监督联系点，通过定期走访、组织评议等方式，听取企业对行政执法的意见建议，解答企业有关涉法问题的咨询，受理举报投诉，建立信息反馈制度，及时通报处理纠正违法行为情况和行政执法普遍性问题的改进措施。二是，有关机关应当建立和完善优化营商环境评价制度，定期对下一级人民政府和政府有关部门的营商环境状况进行测评，将营商环境工作纳入政府绩效考核体系，并向社会公布。三是，省、市、县人民政府应当组织开展行政效能监察，对本级人民政府有关部门及下级人民政府实施条例情况进行监督检查，对存在的问题依法及时纠正。监察机关应当对政府有关部门及其工作人员遵守和执行条例的情况实施监察，对不依法履行法定职责的实行问责、追责。四是，省、市、县人民政府应当建立健全受理损害营商环境行为的投诉、举报制度，设立投诉、举报信息网络平台，在政府及其有关部门网站、民心网公布投诉、举报电话和信箱，接受投诉、举报。政府有关部门应当及时受理并依法处理投诉、举报，并自收到投诉、举报之日起七个工作日内书面答复投诉者、举报者。</w:t>
      </w:r>
    </w:p>
    <w:p/>
    <w:p/>
    <w:p/>
    <w:p/>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 w:hAnsi="仿宋" w:eastAsia="仿宋" w:cs="仿宋"/>
          <w:color w:val="auto"/>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报：</w:t>
      </w:r>
      <w:r>
        <w:rPr>
          <w:rFonts w:hint="eastAsia" w:ascii="仿宋_GB2312" w:hAnsi="宋体" w:eastAsia="仿宋_GB2312" w:cs="宋体"/>
          <w:color w:val="auto"/>
          <w:sz w:val="32"/>
          <w:szCs w:val="32"/>
          <w:lang w:val="en-US" w:eastAsia="zh-CN"/>
        </w:rPr>
        <w:t>四家班子</w:t>
      </w:r>
      <w:r>
        <w:rPr>
          <w:rFonts w:hint="eastAsia" w:ascii="仿宋_GB2312" w:hAnsi="宋体" w:eastAsia="仿宋_GB2312" w:cs="宋体"/>
          <w:color w:val="auto"/>
          <w:sz w:val="32"/>
          <w:szCs w:val="32"/>
        </w:rPr>
        <w:t>领导</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color w:val="auto"/>
          <w:sz w:val="32"/>
          <w:szCs w:val="32"/>
        </w:rPr>
      </w:pPr>
      <w:r>
        <w:rPr>
          <w:rFonts w:hint="eastAsia" w:ascii="仿宋_GB2312" w:hAnsi="宋体" w:eastAsia="仿宋_GB2312" w:cs="宋体"/>
          <w:color w:val="auto"/>
          <w:sz w:val="32"/>
          <w:szCs w:val="32"/>
        </w:rPr>
        <w:t>发：县直各单位，各乡镇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 w:hAnsi="仿宋" w:eastAsia="仿宋" w:cs="仿宋"/>
          <w:color w:val="auto"/>
          <w:kern w:val="0"/>
          <w:sz w:val="32"/>
          <w:szCs w:val="32"/>
          <w:lang w:val="en-US" w:eastAsia="zh-CN" w:bidi="ar"/>
        </w:rPr>
      </w:pPr>
      <w:r>
        <w:rPr>
          <w:rFonts w:hint="eastAsia" w:ascii="仿宋_GB2312" w:hAnsi="宋体" w:eastAsia="仿宋_GB2312" w:cs="宋体"/>
          <w:color w:val="auto"/>
          <w:sz w:val="32"/>
          <w:szCs w:val="32"/>
        </w:rPr>
        <w:t>共印113份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长城小标宋体">
    <w:altName w:val="宋体"/>
    <w:panose1 w:val="02010609010101010101"/>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迷你简小标宋">
    <w:altName w:val="宋体"/>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李旭科毛笔行书">
    <w:altName w:val="宋体"/>
    <w:panose1 w:val="02010600030101010101"/>
    <w:charset w:val="86"/>
    <w:family w:val="auto"/>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PingFang SC">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PingFangSC-Regular">
    <w:altName w:val="Segoe Print"/>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11773A94"/>
    <w:rsid w:val="353A261D"/>
    <w:rsid w:val="4BD914AE"/>
    <w:rsid w:val="503A7176"/>
    <w:rsid w:val="57C74F4B"/>
    <w:rsid w:val="6E97766A"/>
    <w:rsid w:val="70316B68"/>
    <w:rsid w:val="78887F96"/>
    <w:rsid w:val="7A8909E1"/>
    <w:rsid w:val="7A964A11"/>
    <w:rsid w:val="7FEE72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2017-09-15T01:34:00Z</cp:lastPrinted>
  <dcterms:modified xsi:type="dcterms:W3CDTF">2017-09-15T02:10:05Z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